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20131">
        <w:trPr>
          <w:trHeight w:val="3758"/>
        </w:trPr>
        <w:tc>
          <w:tcPr>
            <w:tcW w:w="5000" w:type="pct"/>
          </w:tcPr>
          <w:p w:rsidR="00920131" w:rsidRDefault="001246ED">
            <w:pPr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color w:val="3D3D3D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D3D3D"/>
                <w:sz w:val="44"/>
                <w:szCs w:val="44"/>
              </w:rPr>
              <w:t>济宁市退役军人服务中心</w:t>
            </w:r>
          </w:p>
          <w:p w:rsidR="00920131" w:rsidRDefault="001246ED">
            <w:pPr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color w:val="3D3D3D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D3D3D"/>
                <w:sz w:val="44"/>
                <w:szCs w:val="44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3D3D3D"/>
                <w:sz w:val="44"/>
                <w:szCs w:val="44"/>
              </w:rPr>
              <w:t>年度信息公开</w:t>
            </w:r>
          </w:p>
          <w:p w:rsidR="00920131" w:rsidRDefault="001246ED">
            <w:pPr>
              <w:spacing w:line="5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pict>
                <v:rect id="_x0000_i1025" style="width:0;height:0" o:hralign="center" o:hrstd="t" o:hrnoshade="t" o:hr="t" fillcolor="#717171" stroked="f"/>
              </w:pic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一、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单位基本情况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单位名称：济宁市退役军人服务中心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单位地址：济宁市任城区红星东路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113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号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单位宗旨和业务范围：承担市级退役军人和军队离退休干部服务保障工作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法定代表人：周志阁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经费来源：财政拨款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开办资金：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57.09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万元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举办单位：济宁市退役军人事务局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统一社会信用代码：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1237080049395088X3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二、法人年度检查信息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（一）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>开展业务活动情况：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度我单位在市退役军人事务局的正确领导下，认真贯彻《事业单位登记管理暂行条例》、《事业单位登记管理暂行条例实施细则》和有关法律、法规、政策，按照核准登记的业务范围开展活动，主要做了以下几个方面的工作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、坚持党建引领，抓好党风廉政建设。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加强学习教育，认真学习贯彻落实党的十九大和十九届二中、三中、四中、五中全会精神，学习习近平新时代中国特色社会主义思想，不断增强“四个意识”，坚定“四个自信”，做到“两个维护”。</w:t>
            </w:r>
            <w:r w:rsidR="008918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严格遵守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《党章》、《关于新形式下党内政治生活若</w:t>
            </w:r>
            <w:r w:rsidR="008918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干准则》、《中国共产党党内监督条例》以及</w:t>
            </w:r>
            <w:r w:rsidR="004455B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中央</w:t>
            </w:r>
            <w:r w:rsidR="008918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“八项规定”</w:t>
            </w:r>
            <w:r w:rsidR="004455B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精神</w:t>
            </w:r>
            <w:r w:rsidR="008918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，廉洁勤政、风清气正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、高质量推进全市退役军人服务保障体系建设。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“高质量、创特色、走前列”的要求，以全国示范型服务中心（站）创建工作为抓手，努力夯实抓好县乡两级服务中心（站）“基层基础基本”工作，全面实现了“巩固、补充、完善、提升”目标。努力建成工作特色明显、退役军人满意的示范型服务中心（站），形成具有济宁特色的服务品牌，从队伍建设、政治文化环境、主要职责、办公场所、工作服务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个方面进行重点推进。全市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个服务中心（站）顺利通过全国示范型退役军人服务中心（站）评定。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、全方位搭建就业创业服务平台。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一是提供教育培训，帮助退役军人练就本领。建立了技能培训与学历教育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互为补充的教育培训体系，创新开展退役军人线上教育培训，遴选整合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家公共服务平台教育教学资源线上教育培训，开设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余门精品课程，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名优秀职业指导师在线服务。为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年度军转干部举行为期三个月的适应性培训、岗前培训、创业助推培训。按照“即退即训、全员参加”的原则，开展全员适应性培训。举办了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期职业技能培训班，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余名退役军人报名参加，培训合格率达到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。鼓励开展学历教育，将符合报名条件的退役军人纳入高等职业院校单独考试招生范围，济宁地区共有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所院校面向退役军人单招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人。二是搭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建就业服务平台，拓宽就业渠道。采用青年人喜闻乐见的形式，推动线上线下同步招聘。举办了大型网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络招聘会、直播招聘、“春风送岗”线上招聘、残疾退役军人专场招聘会、退役军人专场招聘大集、退役军人暨随军家属专场招聘会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场招聘会，提供职位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9813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个，吸纳退役军人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余人签订就业意向。从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份起，每双月最后一个星期五联合举办退役军人“军岗日”专场招聘会。鼓励企业招用，积极与企业对接，收集整理吸纳退役军人就业的企业的政策，符合条件的可享受相关税收优惠及创业带动就业奖补等，截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日，全市已发放创业扶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持贷款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2804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万元，创业带动就业奖励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万元。三是提供创业帮扶，助力创新创业。成立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个市级“军创企业服务团队”、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个县级“军创企业服务小组”，“联络员”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名，建立了“一人联络、多将服务”的创新服务模式，主动联络军创企业，及时掌握发展的难点、堵点，按“需”提供服务，变“企业跑腿”为“联络员跑腿”。截至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日，共为我市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家军创企业、个体工商户提供服务，帮助联络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余次，解决困难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672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个。在全市建立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个退役军人就业创业孵化基地，为初创期军创企业提供免房租、创业指导、财务融资、市场营销、企业管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理等一站式综合服务。目前，已入驻军创企业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家，带动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余名退役军人就业，退役军人创业带动就业效应初显。成立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就业创业导师团队，建立创业导师数据库，对退役军人职业规划和就业创业进行指导。举办退役军人创业讲堂、经验分享会、就业创业优惠政策宣讲会和金融优惠政策说明会。率先组织开展了以“展退役军人风采·练工作岗位精兵”为主题、涵盖汽车维修、消防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无人机、挖掘机操作等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个比赛项目的退役军人职业技能大赛，在全市范围内组织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余名退役军人参与。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、稳步提升自主择业军转干部管理服务水平。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积极做好市直自主择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业军转干部接收服务、就业创业扶持、继续教育等日常管理服务。坚持在政治待遇上，厚爱一层。在日常生活上，倾注真情。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服务好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全市自主择业军转干部，推动全市自主择业军转干部实现就业顺利、创业有成、安居乐业。为全市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名自主择业军转干部及时、足额发放退役金，严格落实医疗保险等有关规定，及时办理医疗保险，每年为自主择业军转干部免费体检，建立健康档案。组织全市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余名自主择业军转干部开展了“守初心担使命、重温军营生活”活动，激励全市自主择业军转干部重温军旅生涯，守初心担使命，立足岗位建新功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将自主择业军转干部纳入职业技能培训范围，提升就业创业能力。建立常态联系、节日慰问、伤病探访、困难帮扶、年度登记等制度，沟通联系贴心服务到位，自主择业军转干部的自豪感、荣誉感和获得感进一步增强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日，全省自主择业军转干部管理服务工作经验交流会在我市召开，省厅对我市自主择业军转干部管理服务工作给予了充分肯定。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、扎实开展走访慰问和困难帮扶工作。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落实常态化联系退役军人制度，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将全市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万余名退役军人信息录入系统，</w:t>
            </w:r>
            <w:r w:rsidR="004455B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开展“牵手工程”，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不断扩大常态联系的频次和覆盖面</w:t>
            </w:r>
            <w:r w:rsidR="009277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围绕尊崇抓服务，践行“四尊崇、五关爱、六必访”尊崇工作法，全市举行新兵入伍欢送和老兵返乡欢迎仪式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场。八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一建军节、国庆节前，走访慰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问困难退役军人和优秀退役军人代表。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建立了困难退役军人信息台账及动态调整机制，运用好困难帮扶专项基金对困难退役军人进行帮扶，发放困难帮扶资金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458.36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万元，帮扶困难退役军人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1055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人次。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3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、关心关爱退役军人社会力量逐步壮大。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充分动员社会力量为退役军人提供就业创业、养老、医疗、心理疏导、困难帮扶等服务。全市成立县级以上拥军优属协会、爱国拥军协会、关爱退役军人协会等社会化拥军组织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个，基层社会化拥军组织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余个，在全社会形成了尊崇军人、关爱退役军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人的浓厚氛围。建立“关爱退役军人志愿服务队”，累计开展“关爱参战老兵”活动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，登门探访抗美援朝老兵，通过修一次脚、理一次发、整修一次水电、拍一张照、打扫一次卫生这些生活中的小事，给老兵们送去温暖；开展了以“致敬老兵”为主题的文艺演出，受到社会各界一致好评。“八一”期间，志愿者们行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公里、走访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个街道、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位退役老兵，发放米、面、油、奶慰问物资共计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18785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元。市、县两级退役军人服务中心设立退役军人法律服务工作站，通过提供法律咨询、开展法治宣传、受理援助申请并进行初审等，为退役军人提供“一站式”法律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服务平台</w:t>
            </w:r>
            <w:r w:rsidR="009277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（二）存在的问题和不足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一年来，全中心同志一起尽职尽责，取得了一些成绩，但还存在一些不足和差距：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一是学习的自觉性坚持的不够好，挤时间学、抽空学还需要进一步加强。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二是退役军人服务能力还需进一步提升，加强软硬件设施配置，特别是如何做好退役军人服务方面需要进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一步学习和探索。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，我们正视存在的问题和不足，找准方向，加强学习，提高思想认识，坚定政治方向，扎实开展主题教育，按上级的决议、决策和指示精神去做，加大改革力度，创新改革理念，严格按照做表率、重担当的要求，全面提高退役军人服务工作水平再上新台阶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>（三）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>202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>1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>年工作打算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                       </w:t>
            </w:r>
          </w:p>
          <w:p w:rsidR="00920131" w:rsidRDefault="001246ED">
            <w:pPr>
              <w:spacing w:line="580" w:lineRule="exact"/>
              <w:ind w:firstLineChars="200" w:firstLine="640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、完善服务保障体系建设，提升基层服务能力。以全国示范型服务中心（站）创建为契机，乘势而上，巩固提高。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示范型退役军人服务中心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（站）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数量达到全市退役军人服务中心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总数的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以上。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严格标准抓完善，攻坚克难补弱项，提升全市退役军人服务保障水平，加强软、硬件建设，完善服务中心（站）工作制度和服务规范，明确职能职责，加强评价考核，推动机构有效运转和作用发挥。主动开展业务靠前服务，丰富服务内容，创新服务方式，提升基层服务能力。指导县市区在合村并居村委换届后加大对村级服务站的调整规范。</w:t>
            </w:r>
          </w:p>
          <w:p w:rsidR="00920131" w:rsidRDefault="001246ED">
            <w:pPr>
              <w:spacing w:line="580" w:lineRule="exact"/>
              <w:ind w:firstLineChars="200" w:firstLine="640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、优化服务方式，提升服务办事效能。指导县市区退役军人服务大厅按照“一窗受理、一次办好”的原则，实行“一站式”服务，开展政策咨询、就业创业、优抚安置、困难帮扶</w:t>
            </w:r>
            <w:r w:rsidR="00C512ED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培训登记等综合服务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。建立行政业务科室轮流带班、引导员代办帮办、老孕病残人员重点关照优先办理等制度，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实现零距离、面对面、亲情化服务。推行一次性提前告知服务，让服务对象提前了解办事事宜，提高一站式办结效率。探索服务延时预约服务和服务评价机制，不断改进服务工作。</w:t>
            </w:r>
          </w:p>
          <w:p w:rsidR="00920131" w:rsidRDefault="001246ED">
            <w:pPr>
              <w:spacing w:line="580" w:lineRule="exact"/>
              <w:ind w:firstLineChars="200" w:firstLine="640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加强监督指导，常态化开展信息采集工作。</w:t>
            </w:r>
            <w:r w:rsidR="00891885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加大对县市区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信息采集工作指导，结合新兵入伍、老兵退伍时机，加大宣传力度，把政策宣传清楚、解读明白，避免误解误读，提高全社会和广大退役军人及其他优抚对象的知晓率和参与度，力争“应采尽采”。指导各县市区及时为新退役人员采集信息，做好信息采集数据校核、修正、完善工作，发现问题数据、缺失数据及时组织交叉校核和修正完善，建立信息定期更新长效机制，实行动态管理，为精确开展数据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分析、精准实施管理服务打下扎实的工作基础。</w:t>
            </w:r>
          </w:p>
          <w:p w:rsidR="00920131" w:rsidRDefault="00891885">
            <w:pPr>
              <w:spacing w:line="580" w:lineRule="exact"/>
              <w:ind w:firstLineChars="200" w:firstLine="640"/>
              <w:rPr>
                <w:rStyle w:val="NormalCharacter"/>
                <w:rFonts w:ascii="仿宋_GB2312" w:eastAsia="仿宋_GB2312" w:hAnsi="仿宋_GB2312" w:cs="仿宋_GB2312"/>
                <w:color w:val="22222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 w:rsidR="001246ED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、主动靠前服务，提升自主择业军转干部管理服务水平。</w:t>
            </w:r>
            <w:r w:rsidR="001246ED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做好</w:t>
            </w:r>
            <w:r w:rsidR="001246ED"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  <w:t>自主择业军转干部接收报到服务、就业创业扶持、退役金核定发放、日常管理服务等工作；指导各县市区退役军人服务中心（站）配合基层党组织做好退役军人党员教育管理服务工作；将自主择业军转干部就业创业工作纳入就业创业工作总体规划，按规定落实相关扶持政策。围绕市场需求和自主择业军转干部特点，开展更具针对性的职业培训和创业培训；对县市区负责档案接收审核、退役金核定、就业创业服务、信息系统维护的工作人员定期开展业务培训，提升基层一线工作人员的业务能力和服务水平。</w:t>
            </w:r>
          </w:p>
          <w:p w:rsidR="00920131" w:rsidRDefault="00891885">
            <w:pPr>
              <w:snapToGrid w:val="0"/>
              <w:spacing w:line="580" w:lineRule="exact"/>
              <w:ind w:firstLineChars="200" w:firstLine="640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 w:rsidR="001246ED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、深入推进“社会为我、我为社会”的双向服务模式。</w:t>
            </w:r>
            <w:r w:rsidR="001246ED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充分发挥关心</w:t>
            </w:r>
            <w:r w:rsidR="001246ED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关爱退役军人社会组织的作用，开展常态化社会服务工作，为服务保障体系提供有益、有效、有力补充和支持。通过组织各级各类关心关爱退役军人社会组织参与志愿服务、走访慰问、就业创业、帮扶解困等活动，服务退役军</w:t>
            </w:r>
            <w:r w:rsidR="001246ED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人，营造尊崇氛围。同时引导退役军人在应急保障、传承红色基因、关心教育青少年、扶危济贫、化解矛盾纠纷、参与经济社会建设和热心公益事业等方面发挥作用，开展回馈社会服务活动，推进社会力量和退役军人“双向服务”。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三、机构编制实名制情况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机构名称：济宁市退役军人服务中心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编制人数：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  <w:p w:rsidR="00920131" w:rsidRDefault="001246ED">
            <w:pPr>
              <w:pStyle w:val="a6"/>
              <w:spacing w:before="0" w:beforeAutospacing="0" w:after="0" w:afterAutospacing="0"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实有编制人员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  <w:p w:rsidR="00920131" w:rsidRDefault="001246ED" w:rsidP="00891885">
            <w:pPr>
              <w:pStyle w:val="a6"/>
              <w:spacing w:before="0" w:beforeAutospacing="0" w:after="0" w:afterAutospacing="0" w:line="580" w:lineRule="exact"/>
              <w:ind w:leftChars="304" w:left="638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周志阁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卫东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程连振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刘兴强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帅冬梅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曹金泉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慧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冯淑涛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娟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李金光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李相涛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叶福虎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戈成玉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吴建国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张久成</w:t>
            </w:r>
            <w:r>
              <w:rPr>
                <w:rFonts w:ascii="Calibri" w:eastAsia="仿宋_GB2312" w:hAnsi="Calibri" w:cs="Calibri"/>
                <w:sz w:val="32"/>
                <w:szCs w:val="32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崔瑞荣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邱晨曦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旭</w:t>
            </w:r>
            <w:r>
              <w:rPr>
                <w:rFonts w:ascii="Calibri" w:eastAsia="仿宋_GB2312" w:hAnsi="Calibri" w:cs="Calibri"/>
                <w:sz w:val="32"/>
                <w:szCs w:val="32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丁海涛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波</w:t>
            </w:r>
          </w:p>
        </w:tc>
      </w:tr>
    </w:tbl>
    <w:p w:rsidR="00920131" w:rsidRDefault="00920131">
      <w:pPr>
        <w:rPr>
          <w:rFonts w:ascii="仿宋" w:eastAsia="仿宋" w:hAnsi="仿宋"/>
          <w:sz w:val="32"/>
          <w:szCs w:val="32"/>
        </w:rPr>
      </w:pPr>
    </w:p>
    <w:sectPr w:rsidR="0092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ED" w:rsidRDefault="001246ED">
      <w:r>
        <w:separator/>
      </w:r>
    </w:p>
  </w:endnote>
  <w:endnote w:type="continuationSeparator" w:id="0">
    <w:p w:rsidR="001246ED" w:rsidRDefault="0012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ED" w:rsidRDefault="001246ED">
      <w:r>
        <w:separator/>
      </w:r>
    </w:p>
  </w:footnote>
  <w:footnote w:type="continuationSeparator" w:id="0">
    <w:p w:rsidR="001246ED" w:rsidRDefault="0012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737"/>
    <w:rsid w:val="00087D07"/>
    <w:rsid w:val="001246ED"/>
    <w:rsid w:val="00127F33"/>
    <w:rsid w:val="001E3EAB"/>
    <w:rsid w:val="001F05F6"/>
    <w:rsid w:val="001F1CDD"/>
    <w:rsid w:val="002756D6"/>
    <w:rsid w:val="002B282B"/>
    <w:rsid w:val="004455BC"/>
    <w:rsid w:val="00462A41"/>
    <w:rsid w:val="004C32BE"/>
    <w:rsid w:val="00514387"/>
    <w:rsid w:val="005C7065"/>
    <w:rsid w:val="005E03A2"/>
    <w:rsid w:val="0063729F"/>
    <w:rsid w:val="006544AD"/>
    <w:rsid w:val="00666441"/>
    <w:rsid w:val="00696737"/>
    <w:rsid w:val="00716885"/>
    <w:rsid w:val="00781DC8"/>
    <w:rsid w:val="007A53BE"/>
    <w:rsid w:val="00891885"/>
    <w:rsid w:val="00913C6F"/>
    <w:rsid w:val="00920131"/>
    <w:rsid w:val="0092777A"/>
    <w:rsid w:val="009816ED"/>
    <w:rsid w:val="00A44076"/>
    <w:rsid w:val="00C246B0"/>
    <w:rsid w:val="00C512ED"/>
    <w:rsid w:val="00C5462C"/>
    <w:rsid w:val="00D015DD"/>
    <w:rsid w:val="00D01ECA"/>
    <w:rsid w:val="00D01F6C"/>
    <w:rsid w:val="00EF37A1"/>
    <w:rsid w:val="00F00E9A"/>
    <w:rsid w:val="00F74EF2"/>
    <w:rsid w:val="00F915D3"/>
    <w:rsid w:val="112D7BE4"/>
    <w:rsid w:val="1DCA49E4"/>
    <w:rsid w:val="38981CB6"/>
    <w:rsid w:val="38EC5E17"/>
    <w:rsid w:val="3A8A1F9B"/>
    <w:rsid w:val="4A4B04CC"/>
    <w:rsid w:val="60E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0C95BA-9D68-4134-B8CC-E54BA426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link w:val="NormalCharacter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line="560" w:lineRule="exact"/>
      <w:ind w:firstLineChars="200" w:firstLine="420"/>
    </w:pPr>
    <w:rPr>
      <w:rFonts w:hAnsi="Times New Roman"/>
      <w:szCs w:val="20"/>
    </w:rPr>
  </w:style>
  <w:style w:type="paragraph" w:styleId="a3">
    <w:name w:val="Body Text Indent"/>
    <w:basedOn w:val="a"/>
    <w:qFormat/>
    <w:pPr>
      <w:spacing w:line="540" w:lineRule="exact"/>
      <w:ind w:firstLine="640"/>
    </w:pPr>
    <w:rPr>
      <w:rFonts w:ascii="仿宋_GB2312" w:eastAsia="仿宋_GB2312"/>
      <w:sz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textAlignment w:val="baseline"/>
    </w:pPr>
    <w:rPr>
      <w:rFonts w:ascii="Calibri" w:eastAsia="宋体" w:hAnsi="Calibr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a8">
    <w:name w:val="header"/>
    <w:basedOn w:val="a"/>
    <w:link w:val="Char0"/>
    <w:uiPriority w:val="99"/>
    <w:unhideWhenUsed/>
    <w:rsid w:val="0092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277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E79B0-6B3A-48E2-BF50-B55EC012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</dc:creator>
  <cp:lastModifiedBy>DELL</cp:lastModifiedBy>
  <cp:revision>33</cp:revision>
  <dcterms:created xsi:type="dcterms:W3CDTF">2020-03-25T01:25:00Z</dcterms:created>
  <dcterms:modified xsi:type="dcterms:W3CDTF">2021-05-18T07:15:00Z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560046930_cloud</vt:lpwstr>
  </property>
  <property fmtid="{D5CDD505-2E9C-101B-9397-08002B2CF9AE}" pid="4" name="ICV">
    <vt:lpwstr>48D76223C5E14355B73611CEF4EE822D</vt:lpwstr>
  </property>
</Properties>
</file>