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黑体"/>
          <w:color w:val="000000"/>
          <w:kern w:val="2"/>
          <w:szCs w:val="28"/>
        </w:rPr>
      </w:pPr>
      <w:r>
        <w:rPr>
          <w:rFonts w:hint="eastAsia" w:ascii="黑体" w:hAnsi="黑体" w:eastAsia="黑体" w:cs="黑体"/>
          <w:color w:val="000000"/>
          <w:kern w:val="2"/>
          <w:szCs w:val="28"/>
        </w:rPr>
        <w:t>附件3</w:t>
      </w:r>
    </w:p>
    <w:p>
      <w:pPr>
        <w:spacing w:after="0" w:line="600" w:lineRule="exact"/>
        <w:jc w:val="center"/>
        <w:rPr>
          <w:rFonts w:ascii="方正小标宋简体" w:hAnsi="华文仿宋" w:eastAsia="方正小标宋简体" w:cs="华文仿宋"/>
          <w:color w:val="000000"/>
          <w:kern w:val="2"/>
          <w:sz w:val="44"/>
          <w:szCs w:val="21"/>
        </w:rPr>
      </w:pPr>
      <w:bookmarkStart w:id="4" w:name="_GoBack"/>
      <w:r>
        <w:rPr>
          <w:rFonts w:hint="eastAsia" w:ascii="方正小标宋简体" w:hAnsi="华文仿宋" w:eastAsia="方正小标宋简体" w:cs="华文仿宋"/>
          <w:color w:val="000000"/>
          <w:kern w:val="2"/>
          <w:sz w:val="44"/>
          <w:szCs w:val="21"/>
        </w:rPr>
        <w:t>济宁市首届退役军人</w:t>
      </w:r>
      <w:r>
        <w:rPr>
          <w:rFonts w:ascii="方正小标宋简体" w:hAnsi="华文仿宋" w:eastAsia="方正小标宋简体" w:cs="华文仿宋"/>
          <w:color w:val="000000"/>
          <w:kern w:val="2"/>
          <w:sz w:val="44"/>
          <w:szCs w:val="21"/>
        </w:rPr>
        <w:t>创业创新大赛</w:t>
      </w:r>
    </w:p>
    <w:p>
      <w:pPr>
        <w:spacing w:after="0" w:line="600" w:lineRule="exact"/>
        <w:jc w:val="center"/>
        <w:rPr>
          <w:rFonts w:ascii="方正小标宋简体" w:hAnsi="方正小标宋简体" w:eastAsia="方正小标宋简体" w:cs="方正小标宋简体"/>
          <w:color w:val="000000"/>
          <w:spacing w:val="-8"/>
          <w:kern w:val="2"/>
          <w:sz w:val="44"/>
          <w:szCs w:val="44"/>
        </w:rPr>
      </w:pPr>
      <w:r>
        <w:rPr>
          <w:rFonts w:hint="eastAsia" w:ascii="方正小标宋简体" w:hAnsi="方正小标宋简体" w:eastAsia="方正小标宋简体" w:cs="方正小标宋简体"/>
          <w:color w:val="000000"/>
          <w:spacing w:val="-8"/>
          <w:kern w:val="2"/>
          <w:sz w:val="44"/>
          <w:szCs w:val="44"/>
        </w:rPr>
        <w:t>创业计划书模板</w:t>
      </w:r>
    </w:p>
    <w:bookmarkEnd w:id="4"/>
    <w:p>
      <w:pPr>
        <w:spacing w:line="560" w:lineRule="exact"/>
        <w:rPr>
          <w:rFonts w:ascii="黑体" w:hAnsi="黑体" w:eastAsia="黑体" w:cs="黑体"/>
          <w:color w:val="000000"/>
          <w:kern w:val="2"/>
          <w:sz w:val="28"/>
          <w:szCs w:val="28"/>
          <w:shd w:val="clear" w:color="auto" w:fill="FFFFFF"/>
        </w:rPr>
      </w:pPr>
      <w:r>
        <w:rPr>
          <w:rFonts w:hint="eastAsia" w:ascii="黑体" w:hAnsi="黑体" w:eastAsia="黑体" w:cs="黑体"/>
          <w:color w:val="000000"/>
          <w:sz w:val="28"/>
          <w:szCs w:val="28"/>
          <w:shd w:val="clear" w:color="auto" w:fill="FFFFFF"/>
        </w:rPr>
        <w:t>一、执行摘要</w:t>
      </w:r>
    </w:p>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92"/>
        <w:gridCol w:w="2443"/>
        <w:gridCol w:w="1898"/>
        <w:gridCol w:w="976"/>
        <w:gridCol w:w="575"/>
        <w:gridCol w:w="719"/>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6"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公司/团队名称</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宋体" w:hAnsi="宋体" w:eastAsia="宋体" w:cs="宋体"/>
                <w:color w:val="000000"/>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注册资金</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宋体" w:hAnsi="宋体" w:eastAsia="宋体" w:cs="宋体"/>
                <w:color w:val="000000"/>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2"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公司类型</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宋体" w:hAnsi="宋体" w:eastAsia="宋体" w:cs="宋体"/>
                <w:color w:val="000000"/>
                <w:sz w:val="24"/>
                <w:szCs w:val="24"/>
              </w:rPr>
              <w:t xml:space="preserve">□ </w:t>
            </w:r>
            <w:r>
              <w:rPr>
                <w:rFonts w:hint="eastAsia" w:ascii="仿宋" w:hAnsi="仿宋" w:eastAsia="仿宋" w:cs="仿宋"/>
                <w:color w:val="000000"/>
                <w:sz w:val="24"/>
                <w:szCs w:val="24"/>
              </w:rPr>
              <w:t>有限责任公司  □ 个体工商户  □ 个人独资企业  □ 合伙企业</w:t>
            </w:r>
          </w:p>
          <w:p>
            <w:pPr>
              <w:spacing w:line="300" w:lineRule="exact"/>
              <w:rPr>
                <w:rFonts w:ascii="宋体" w:hAnsi="宋体" w:eastAsia="宋体" w:cs="宋体"/>
                <w:color w:val="000000"/>
                <w:kern w:val="2"/>
                <w:sz w:val="24"/>
                <w:szCs w:val="24"/>
              </w:rPr>
            </w:pPr>
            <w:r>
              <w:rPr>
                <w:rFonts w:hint="eastAsia" w:ascii="仿宋" w:hAnsi="仿宋" w:eastAsia="仿宋" w:cs="仿宋"/>
                <w:color w:val="000000"/>
                <w:sz w:val="24"/>
                <w:szCs w:val="24"/>
              </w:rPr>
              <w:t>□ 其他_______ （打√选择）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89"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产品/服务概况</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宋体" w:hAnsi="宋体" w:eastAsia="宋体" w:cs="宋体"/>
                <w:color w:val="000000"/>
                <w:kern w:val="2"/>
                <w:sz w:val="24"/>
                <w:szCs w:val="24"/>
              </w:rPr>
            </w:pPr>
            <w:r>
              <w:rPr>
                <w:rFonts w:hint="eastAsia" w:ascii="仿宋" w:hAnsi="仿宋" w:eastAsia="仿宋" w:cs="仿宋"/>
                <w:color w:val="000000"/>
                <w:sz w:val="24"/>
                <w:szCs w:val="24"/>
              </w:rPr>
              <w:t>描述经营项目的创意来源与可行性，突出产品与服务的新颖性、独特性和可行性，目前所处发展阶段、与国内外同行业其它公司同类技术、产品及服务的比较，本公司技术、产品及服务的新颖性、先进性和独特性，如拥有的专门技术、版权、配方、品牌、销售网络、许可证、专营权、特许权经营等行业优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市场机会</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宋体" w:hAnsi="宋体" w:eastAsia="宋体" w:cs="宋体"/>
                <w:color w:val="000000"/>
                <w:kern w:val="2"/>
                <w:sz w:val="24"/>
                <w:szCs w:val="24"/>
              </w:rPr>
            </w:pPr>
            <w:r>
              <w:rPr>
                <w:rFonts w:hint="eastAsia" w:ascii="仿宋" w:hAnsi="仿宋" w:eastAsia="仿宋" w:cs="仿宋"/>
                <w:color w:val="000000"/>
                <w:sz w:val="24"/>
                <w:szCs w:val="24"/>
              </w:rPr>
              <w:t>指已经出现或即将出现在市场上，但未得到实现或完全实现的市场需求。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82"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商业模式</w:t>
            </w:r>
          </w:p>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（盈利模式）</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宋体" w:hAnsi="宋体" w:eastAsia="宋体" w:cs="宋体"/>
                <w:color w:val="000000"/>
                <w:kern w:val="2"/>
                <w:sz w:val="24"/>
                <w:szCs w:val="24"/>
              </w:rPr>
            </w:pPr>
            <w:r>
              <w:rPr>
                <w:rFonts w:hint="eastAsia" w:ascii="仿宋" w:hAnsi="仿宋" w:eastAsia="仿宋" w:cs="仿宋"/>
                <w:color w:val="000000"/>
                <w:sz w:val="24"/>
                <w:szCs w:val="24"/>
              </w:rPr>
              <w:t>即盈利的模式，企业从哪里获得收入，获得收入的形式有哪几种？客户是谁？卖什么产品服务给客户？为客户带来什么价值？竞争壁垒是什么？此部分也可以谈谈企业的盈利渠道，即企业从哪里获得收入，获得收入的形式有哪几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4" w:hRule="atLeast"/>
        </w:trPr>
        <w:tc>
          <w:tcPr>
            <w:tcW w:w="179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投资额（元）</w:t>
            </w:r>
          </w:p>
        </w:tc>
        <w:tc>
          <w:tcPr>
            <w:tcW w:w="2443"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p>
        </w:tc>
        <w:tc>
          <w:tcPr>
            <w:tcW w:w="3449" w:type="dxa"/>
            <w:gridSpan w:val="3"/>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投资收益率（第一年）</w:t>
            </w:r>
          </w:p>
        </w:tc>
        <w:tc>
          <w:tcPr>
            <w:tcW w:w="1645"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exact"/>
        </w:trPr>
        <w:tc>
          <w:tcPr>
            <w:tcW w:w="1792" w:type="dxa"/>
            <w:vMerge w:val="restart"/>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预期净利润（税后利润）</w:t>
            </w:r>
          </w:p>
        </w:tc>
        <w:tc>
          <w:tcPr>
            <w:tcW w:w="2443" w:type="dxa"/>
            <w:vMerge w:val="restart"/>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第一年</w:t>
            </w:r>
          </w:p>
        </w:tc>
        <w:tc>
          <w:tcPr>
            <w:tcW w:w="2874"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第二年</w:t>
            </w:r>
          </w:p>
        </w:tc>
        <w:tc>
          <w:tcPr>
            <w:tcW w:w="2220" w:type="dxa"/>
            <w:gridSpan w:val="3"/>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第三年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exact"/>
        </w:trPr>
        <w:tc>
          <w:tcPr>
            <w:tcW w:w="179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黑体" w:hAnsi="宋体" w:eastAsia="黑体" w:cs="黑体"/>
                <w:color w:val="000000"/>
                <w:kern w:val="2"/>
                <w:sz w:val="24"/>
                <w:szCs w:val="24"/>
              </w:rPr>
            </w:pPr>
          </w:p>
        </w:tc>
        <w:tc>
          <w:tcPr>
            <w:tcW w:w="753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仿宋"/>
                <w:color w:val="000000"/>
                <w:kern w:val="2"/>
                <w:sz w:val="24"/>
                <w:szCs w:val="24"/>
              </w:rPr>
            </w:pPr>
          </w:p>
        </w:tc>
        <w:tc>
          <w:tcPr>
            <w:tcW w:w="1898"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年增长率</w:t>
            </w:r>
          </w:p>
        </w:tc>
        <w:tc>
          <w:tcPr>
            <w:tcW w:w="976"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w:t>
            </w:r>
          </w:p>
        </w:tc>
        <w:tc>
          <w:tcPr>
            <w:tcW w:w="1294"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年增长率</w:t>
            </w:r>
          </w:p>
        </w:tc>
        <w:tc>
          <w:tcPr>
            <w:tcW w:w="926"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8" w:hRule="exact"/>
        </w:trPr>
        <w:tc>
          <w:tcPr>
            <w:tcW w:w="1792" w:type="dxa"/>
            <w:vMerge w:val="restart"/>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宋体" w:eastAsia="黑体" w:cs="黑体"/>
                <w:color w:val="000000"/>
                <w:kern w:val="2"/>
                <w:sz w:val="24"/>
                <w:szCs w:val="24"/>
              </w:rPr>
            </w:pPr>
            <w:r>
              <w:rPr>
                <w:rFonts w:hint="eastAsia" w:ascii="黑体" w:hAnsi="宋体" w:eastAsia="黑体" w:cs="黑体"/>
                <w:color w:val="000000"/>
                <w:sz w:val="24"/>
                <w:szCs w:val="24"/>
              </w:rPr>
              <w:t>备  注</w:t>
            </w: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投资收益率＝净利润÷总投资额×100%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trPr>
        <w:tc>
          <w:tcPr>
            <w:tcW w:w="179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黑体" w:hAnsi="宋体" w:eastAsia="黑体" w:cs="黑体"/>
                <w:color w:val="000000"/>
                <w:kern w:val="2"/>
                <w:sz w:val="24"/>
                <w:szCs w:val="24"/>
              </w:rPr>
            </w:pP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预期净利润－第一年：见经营第一年利润表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trPr>
        <w:tc>
          <w:tcPr>
            <w:tcW w:w="179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黑体" w:hAnsi="宋体" w:eastAsia="黑体" w:cs="黑体"/>
                <w:color w:val="000000"/>
                <w:kern w:val="2"/>
                <w:sz w:val="24"/>
                <w:szCs w:val="24"/>
              </w:rPr>
            </w:pPr>
          </w:p>
        </w:tc>
        <w:tc>
          <w:tcPr>
            <w:tcW w:w="7537" w:type="dxa"/>
            <w:gridSpan w:val="6"/>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此表中“总投资额”项的金额等于资金需求合计</w:t>
            </w:r>
          </w:p>
        </w:tc>
      </w:tr>
    </w:tbl>
    <w:p>
      <w:pPr>
        <w:spacing w:line="560" w:lineRule="exact"/>
        <w:rPr>
          <w:rFonts w:ascii="黑体" w:eastAsia="黑体" w:cs="黑体"/>
          <w:color w:val="000000"/>
          <w:kern w:val="2"/>
          <w:sz w:val="28"/>
          <w:szCs w:val="28"/>
          <w:shd w:val="clear" w:color="auto" w:fill="FFFFFF"/>
        </w:rPr>
      </w:pPr>
      <w:r>
        <w:rPr>
          <w:rFonts w:hint="eastAsia" w:ascii="Times New Roman" w:hAnsi="Times New Roman" w:eastAsia="宋体"/>
          <w:b/>
          <w:color w:val="000000"/>
          <w:kern w:val="2"/>
          <w:sz w:val="21"/>
          <w:szCs w:val="21"/>
          <w:shd w:val="clear" w:color="auto" w:fill="FFFFFF"/>
        </w:rPr>
        <w:t>备注：表格不可更改页面布局</w:t>
      </w:r>
      <w:r>
        <w:rPr>
          <w:rFonts w:ascii="Times New Roman" w:hAnsi="Times New Roman" w:eastAsia="宋体"/>
          <w:b/>
          <w:color w:val="000000"/>
          <w:kern w:val="2"/>
          <w:sz w:val="28"/>
          <w:szCs w:val="28"/>
          <w:shd w:val="clear" w:color="auto" w:fill="FFFFFF"/>
        </w:rPr>
        <w:br w:type="page"/>
      </w:r>
      <w:r>
        <w:rPr>
          <w:rFonts w:hint="eastAsia" w:ascii="黑体" w:eastAsia="黑体" w:cs="黑体"/>
          <w:color w:val="000000"/>
          <w:sz w:val="28"/>
          <w:szCs w:val="28"/>
          <w:shd w:val="clear" w:color="auto" w:fill="FFFFFF"/>
        </w:rPr>
        <w:t>二、市场分析</w:t>
      </w:r>
      <w:bookmarkStart w:id="0" w:name="_Toc234146997"/>
    </w:p>
    <w:bookmarkEnd w:id="0"/>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20"/>
        <w:gridCol w:w="76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3" w:hRule="atLeast"/>
          <w:jc w:val="center"/>
        </w:trPr>
        <w:tc>
          <w:tcPr>
            <w:tcW w:w="1620"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4"/>
                <w:szCs w:val="24"/>
              </w:rPr>
            </w:pPr>
            <w:r>
              <w:rPr>
                <w:rFonts w:hint="eastAsia" w:ascii="宋体" w:hAnsi="宋体" w:eastAsia="宋体" w:cs="宋体"/>
                <w:b/>
                <w:color w:val="000000"/>
                <w:sz w:val="24"/>
                <w:szCs w:val="24"/>
              </w:rPr>
              <w:t>市场定位</w:t>
            </w:r>
          </w:p>
        </w:tc>
        <w:tc>
          <w:tcPr>
            <w:tcW w:w="762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1、产品定位：侧重于产品实体定位质量/成本/特征/性能/可靠性/实用性/款式</w:t>
            </w:r>
          </w:p>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2、竞争定位：确定企业相对与竞争者的市场位置</w:t>
            </w:r>
          </w:p>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3、消费者定位：确定企业的目标顾客群 ，指你究竟想要把产品卖给谁？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2" w:hRule="atLeast"/>
          <w:jc w:val="center"/>
        </w:trPr>
        <w:tc>
          <w:tcPr>
            <w:tcW w:w="1620"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4"/>
                <w:szCs w:val="24"/>
              </w:rPr>
            </w:pPr>
            <w:r>
              <w:rPr>
                <w:rFonts w:hint="eastAsia" w:ascii="宋体" w:hAnsi="宋体" w:eastAsia="宋体" w:cs="宋体"/>
                <w:b/>
                <w:color w:val="000000"/>
                <w:sz w:val="24"/>
                <w:szCs w:val="24"/>
              </w:rPr>
              <w:t>目标客户</w:t>
            </w:r>
          </w:p>
        </w:tc>
        <w:tc>
          <w:tcPr>
            <w:tcW w:w="762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可以按照客户年龄、地域、收入、偏好、消费习惯等分类。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8" w:hRule="atLeast"/>
          <w:jc w:val="center"/>
        </w:trPr>
        <w:tc>
          <w:tcPr>
            <w:tcW w:w="1620"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4"/>
                <w:szCs w:val="24"/>
              </w:rPr>
            </w:pPr>
            <w:r>
              <w:rPr>
                <w:rFonts w:hint="eastAsia" w:ascii="宋体" w:hAnsi="宋体" w:eastAsia="宋体" w:cs="宋体"/>
                <w:b/>
                <w:color w:val="000000"/>
                <w:sz w:val="24"/>
                <w:szCs w:val="24"/>
              </w:rPr>
              <w:t>市场预测</w:t>
            </w:r>
          </w:p>
          <w:p>
            <w:pPr>
              <w:spacing w:line="3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（市场</w:t>
            </w:r>
          </w:p>
          <w:p>
            <w:pPr>
              <w:spacing w:line="300" w:lineRule="exact"/>
              <w:jc w:val="center"/>
              <w:rPr>
                <w:rFonts w:ascii="宋体" w:hAnsi="宋体" w:eastAsia="宋体" w:cs="宋体"/>
                <w:b/>
                <w:color w:val="000000"/>
                <w:kern w:val="2"/>
                <w:sz w:val="24"/>
                <w:szCs w:val="24"/>
              </w:rPr>
            </w:pPr>
            <w:r>
              <w:rPr>
                <w:rFonts w:hint="eastAsia" w:ascii="宋体" w:hAnsi="宋体" w:eastAsia="宋体" w:cs="宋体"/>
                <w:b/>
                <w:color w:val="000000"/>
                <w:sz w:val="24"/>
                <w:szCs w:val="24"/>
              </w:rPr>
              <w:t>占有率）</w:t>
            </w:r>
          </w:p>
        </w:tc>
        <w:tc>
          <w:tcPr>
            <w:tcW w:w="762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4"/>
                <w:szCs w:val="24"/>
              </w:rPr>
            </w:pPr>
            <w:r>
              <w:rPr>
                <w:rFonts w:hint="eastAsia" w:ascii="仿宋" w:hAnsi="仿宋" w:eastAsia="仿宋" w:cs="仿宋"/>
                <w:color w:val="000000"/>
                <w:sz w:val="24"/>
                <w:szCs w:val="24"/>
              </w:rPr>
              <w:t>在已有“市场机会”的基础上着重分析市场容量等市场需求情况及其变化趋势；企业提供的产品或服务所占的市场份额。</w:t>
            </w:r>
          </w:p>
        </w:tc>
      </w:tr>
    </w:tbl>
    <w:p>
      <w:pPr>
        <w:spacing w:line="560" w:lineRule="exact"/>
        <w:rPr>
          <w:rFonts w:ascii="黑体" w:eastAsia="黑体" w:cs="黑体"/>
          <w:color w:val="000000"/>
          <w:kern w:val="2"/>
          <w:sz w:val="28"/>
          <w:szCs w:val="28"/>
          <w:shd w:val="clear" w:color="auto" w:fill="FFFFFF"/>
        </w:rPr>
      </w:pPr>
      <w:bookmarkStart w:id="1" w:name="_Toc256779581"/>
      <w:r>
        <w:rPr>
          <w:rFonts w:hint="eastAsia" w:ascii="黑体" w:eastAsia="黑体" w:cs="黑体"/>
          <w:color w:val="000000"/>
          <w:sz w:val="28"/>
          <w:szCs w:val="28"/>
          <w:shd w:val="clear" w:color="auto" w:fill="FFFFFF"/>
        </w:rPr>
        <w:t>三、营销策略</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78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7" w:hRule="atLeast"/>
          <w:jc w:val="center"/>
        </w:trPr>
        <w:tc>
          <w:tcPr>
            <w:tcW w:w="1416"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4"/>
                <w:szCs w:val="24"/>
              </w:rPr>
            </w:pPr>
            <w:r>
              <w:rPr>
                <w:rFonts w:hint="eastAsia" w:ascii="宋体" w:hAnsi="宋体" w:eastAsia="宋体" w:cs="宋体"/>
                <w:b/>
                <w:color w:val="000000"/>
                <w:kern w:val="2"/>
                <w:sz w:val="24"/>
                <w:szCs w:val="24"/>
              </w:rPr>
              <w:t>营销计划</w:t>
            </w:r>
          </w:p>
        </w:tc>
        <w:tc>
          <w:tcPr>
            <w:tcW w:w="7844" w:type="dxa"/>
            <w:tcBorders>
              <w:top w:val="single" w:color="auto" w:sz="8" w:space="0"/>
              <w:left w:val="single" w:color="auto" w:sz="8" w:space="0"/>
              <w:bottom w:val="single" w:color="auto" w:sz="8" w:space="0"/>
              <w:right w:val="single" w:color="auto" w:sz="8" w:space="0"/>
            </w:tcBorders>
          </w:tcPr>
          <w:p>
            <w:pPr>
              <w:spacing w:line="300" w:lineRule="exact"/>
              <w:rPr>
                <w:rFonts w:ascii="楷体" w:hAnsi="楷体" w:eastAsia="楷体" w:cs="楷体"/>
                <w:color w:val="000000"/>
                <w:kern w:val="2"/>
                <w:sz w:val="24"/>
                <w:szCs w:val="24"/>
              </w:rPr>
            </w:pPr>
            <w:r>
              <w:rPr>
                <w:rFonts w:hint="eastAsia" w:ascii="楷体" w:hAnsi="楷体" w:eastAsia="楷体" w:cs="楷体"/>
                <w:color w:val="000000"/>
                <w:kern w:val="2"/>
                <w:sz w:val="24"/>
                <w:szCs w:val="24"/>
              </w:rPr>
              <w:t>在销售网络、销售渠道、设立代理商、分销商方面的策略；在广告促销方面的策略；在产品销售价格方面的策略；在建立良好销售队伍方面的策略；如何保证销售策略具体实施的有效性；对销售队伍采取什么样的激励机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54" w:hRule="atLeast"/>
          <w:jc w:val="center"/>
        </w:trPr>
        <w:tc>
          <w:tcPr>
            <w:tcW w:w="1416"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4"/>
                <w:szCs w:val="24"/>
              </w:rPr>
            </w:pPr>
            <w:r>
              <w:rPr>
                <w:rFonts w:hint="eastAsia" w:ascii="宋体" w:hAnsi="宋体" w:eastAsia="宋体" w:cs="宋体"/>
                <w:b/>
                <w:color w:val="000000"/>
                <w:kern w:val="2"/>
                <w:sz w:val="24"/>
                <w:szCs w:val="24"/>
              </w:rPr>
              <w:t>竞争分析</w:t>
            </w:r>
          </w:p>
        </w:tc>
        <w:tc>
          <w:tcPr>
            <w:tcW w:w="7844" w:type="dxa"/>
            <w:tcBorders>
              <w:top w:val="single" w:color="auto" w:sz="8" w:space="0"/>
              <w:left w:val="single" w:color="auto" w:sz="8" w:space="0"/>
              <w:bottom w:val="single" w:color="auto" w:sz="8" w:space="0"/>
              <w:right w:val="single" w:color="auto" w:sz="8" w:space="0"/>
            </w:tcBorders>
          </w:tcPr>
          <w:p>
            <w:pPr>
              <w:spacing w:line="300" w:lineRule="exact"/>
              <w:rPr>
                <w:rFonts w:ascii="楷体" w:hAnsi="楷体" w:eastAsia="楷体" w:cs="楷体"/>
                <w:color w:val="000000"/>
                <w:kern w:val="2"/>
                <w:sz w:val="24"/>
                <w:szCs w:val="24"/>
              </w:rPr>
            </w:pPr>
            <w:r>
              <w:rPr>
                <w:rFonts w:hint="eastAsia" w:ascii="楷体" w:hAnsi="楷体" w:eastAsia="楷体" w:cs="楷体"/>
                <w:color w:val="000000"/>
                <w:sz w:val="24"/>
                <w:szCs w:val="24"/>
              </w:rPr>
              <w:t>列出在本公司目标市场中的1-3个主要竞争者；分析竞争者的优势和劣势。</w:t>
            </w:r>
          </w:p>
          <w:p>
            <w:pPr>
              <w:spacing w:line="300" w:lineRule="exact"/>
              <w:jc w:val="center"/>
              <w:rPr>
                <w:rFonts w:ascii="楷体" w:hAnsi="楷体" w:eastAsia="楷体" w:cs="楷体"/>
                <w:color w:val="000000"/>
                <w:kern w:val="2"/>
                <w:sz w:val="24"/>
                <w:szCs w:val="24"/>
              </w:rPr>
            </w:pPr>
          </w:p>
          <w:p>
            <w:pPr>
              <w:spacing w:line="300" w:lineRule="exact"/>
              <w:jc w:val="center"/>
              <w:rPr>
                <w:rFonts w:ascii="楷体" w:hAnsi="楷体" w:eastAsia="楷体" w:cs="楷体"/>
                <w:color w:val="000000"/>
                <w:kern w:val="2"/>
                <w:sz w:val="24"/>
                <w:szCs w:val="24"/>
              </w:rPr>
            </w:pPr>
          </w:p>
          <w:p>
            <w:pPr>
              <w:spacing w:line="300" w:lineRule="exact"/>
              <w:jc w:val="center"/>
              <w:rPr>
                <w:rFonts w:ascii="楷体" w:hAnsi="楷体" w:eastAsia="楷体" w:cs="楷体"/>
                <w:color w:val="000000"/>
                <w:kern w:val="2"/>
                <w:sz w:val="24"/>
                <w:szCs w:val="24"/>
              </w:rPr>
            </w:pPr>
          </w:p>
        </w:tc>
      </w:tr>
    </w:tbl>
    <w:p>
      <w:pPr>
        <w:spacing w:line="560" w:lineRule="exact"/>
        <w:rPr>
          <w:rFonts w:ascii="黑体" w:eastAsia="黑体" w:cs="黑体"/>
          <w:color w:val="000000"/>
          <w:kern w:val="2"/>
          <w:sz w:val="28"/>
          <w:szCs w:val="28"/>
          <w:shd w:val="clear" w:color="auto" w:fill="FFFFFF"/>
        </w:rPr>
      </w:pPr>
      <w:r>
        <w:rPr>
          <w:rFonts w:hint="eastAsia" w:ascii="黑体" w:eastAsia="黑体" w:cs="黑体"/>
          <w:color w:val="000000"/>
          <w:sz w:val="28"/>
          <w:szCs w:val="28"/>
          <w:shd w:val="clear" w:color="auto" w:fill="FFFFFF"/>
        </w:rPr>
        <w:t>四、管理团队</w:t>
      </w:r>
    </w:p>
    <w:bookmarkEnd w:id="1"/>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6"/>
        <w:gridCol w:w="1080"/>
        <w:gridCol w:w="1080"/>
        <w:gridCol w:w="1800"/>
        <w:gridCol w:w="1800"/>
        <w:gridCol w:w="23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jc w:val="center"/>
        </w:trPr>
        <w:tc>
          <w:tcPr>
            <w:tcW w:w="10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黑体" w:eastAsia="黑体" w:cs="黑体"/>
                <w:color w:val="000000"/>
                <w:kern w:val="2"/>
                <w:sz w:val="24"/>
                <w:szCs w:val="24"/>
              </w:rPr>
            </w:pPr>
            <w:r>
              <w:rPr>
                <w:rFonts w:hint="eastAsia" w:ascii="黑体" w:hAnsi="黑体" w:eastAsia="黑体" w:cs="黑体"/>
                <w:color w:val="000000"/>
                <w:sz w:val="24"/>
                <w:szCs w:val="24"/>
              </w:rPr>
              <w:t>姓名</w:t>
            </w: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黑体" w:eastAsia="黑体" w:cs="黑体"/>
                <w:color w:val="000000"/>
                <w:kern w:val="2"/>
                <w:sz w:val="24"/>
                <w:szCs w:val="24"/>
              </w:rPr>
            </w:pPr>
            <w:r>
              <w:rPr>
                <w:rFonts w:hint="eastAsia" w:ascii="黑体" w:hAnsi="黑体" w:eastAsia="黑体" w:cs="黑体"/>
                <w:color w:val="000000"/>
                <w:sz w:val="24"/>
                <w:szCs w:val="24"/>
              </w:rPr>
              <w:t>年龄</w:t>
            </w: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黑体" w:eastAsia="黑体" w:cs="黑体"/>
                <w:color w:val="000000"/>
                <w:kern w:val="2"/>
                <w:sz w:val="24"/>
                <w:szCs w:val="24"/>
              </w:rPr>
            </w:pPr>
            <w:r>
              <w:rPr>
                <w:rFonts w:hint="eastAsia" w:ascii="黑体" w:hAnsi="黑体" w:eastAsia="黑体" w:cs="黑体"/>
                <w:color w:val="000000"/>
                <w:sz w:val="24"/>
                <w:szCs w:val="24"/>
              </w:rPr>
              <w:t>职务</w:t>
            </w: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黑体" w:eastAsia="黑体" w:cs="黑体"/>
                <w:color w:val="000000"/>
                <w:kern w:val="2"/>
                <w:sz w:val="24"/>
                <w:szCs w:val="24"/>
              </w:rPr>
            </w:pPr>
            <w:r>
              <w:rPr>
                <w:rFonts w:hint="eastAsia" w:ascii="黑体" w:hAnsi="黑体" w:eastAsia="黑体" w:cs="黑体"/>
                <w:color w:val="000000"/>
                <w:sz w:val="24"/>
                <w:szCs w:val="24"/>
              </w:rPr>
              <w:t>学历及专业</w:t>
            </w: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黑体" w:eastAsia="黑体" w:cs="黑体"/>
                <w:color w:val="000000"/>
                <w:kern w:val="2"/>
                <w:sz w:val="24"/>
                <w:szCs w:val="24"/>
              </w:rPr>
            </w:pPr>
            <w:r>
              <w:rPr>
                <w:rFonts w:hint="eastAsia" w:ascii="黑体" w:hAnsi="黑体" w:eastAsia="黑体" w:cs="黑体"/>
                <w:color w:val="000000"/>
                <w:sz w:val="24"/>
                <w:szCs w:val="24"/>
              </w:rPr>
              <w:t>主要工作经历</w:t>
            </w:r>
          </w:p>
        </w:tc>
        <w:tc>
          <w:tcPr>
            <w:tcW w:w="2378"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黑体" w:hAnsi="黑体" w:eastAsia="黑体" w:cs="黑体"/>
                <w:color w:val="000000"/>
                <w:kern w:val="2"/>
                <w:sz w:val="24"/>
                <w:szCs w:val="24"/>
              </w:rPr>
            </w:pPr>
            <w:r>
              <w:rPr>
                <w:rFonts w:hint="eastAsia" w:ascii="黑体" w:hAnsi="黑体" w:eastAsia="黑体" w:cs="黑体"/>
                <w:color w:val="000000"/>
                <w:sz w:val="24"/>
                <w:szCs w:val="24"/>
              </w:rPr>
              <w:t>优势专长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10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2378"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10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2378"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10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2378"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10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180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c>
          <w:tcPr>
            <w:tcW w:w="2378"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color w:val="000000"/>
                <w:kern w:val="2"/>
                <w:sz w:val="24"/>
                <w:szCs w:val="24"/>
              </w:rPr>
            </w:pPr>
          </w:p>
        </w:tc>
      </w:tr>
    </w:tbl>
    <w:p>
      <w:pPr>
        <w:spacing w:line="560" w:lineRule="exact"/>
        <w:rPr>
          <w:rFonts w:ascii="黑体" w:eastAsia="黑体" w:cs="黑体"/>
          <w:color w:val="000000"/>
          <w:kern w:val="2"/>
          <w:sz w:val="28"/>
          <w:szCs w:val="28"/>
          <w:shd w:val="clear" w:color="auto" w:fill="FFFFFF"/>
        </w:rPr>
      </w:pPr>
      <w:r>
        <w:rPr>
          <w:rFonts w:ascii="Times New Roman" w:hAnsi="Times New Roman" w:eastAsia="宋体"/>
          <w:b/>
          <w:color w:val="000000"/>
          <w:kern w:val="2"/>
          <w:sz w:val="28"/>
          <w:szCs w:val="28"/>
          <w:shd w:val="clear" w:color="auto" w:fill="FFFFFF"/>
        </w:rPr>
        <w:br w:type="page"/>
      </w:r>
      <w:r>
        <w:rPr>
          <w:rFonts w:hint="eastAsia" w:ascii="黑体" w:eastAsia="黑体" w:cs="黑体"/>
          <w:color w:val="000000"/>
          <w:sz w:val="28"/>
          <w:szCs w:val="28"/>
          <w:shd w:val="clear" w:color="auto" w:fill="FFFFFF"/>
        </w:rPr>
        <w:t>五、财务分析报告</w:t>
      </w:r>
      <w:bookmarkStart w:id="2" w:name="_Toc256779598"/>
    </w:p>
    <w:p>
      <w:pPr>
        <w:spacing w:line="560" w:lineRule="exact"/>
        <w:rPr>
          <w:rFonts w:ascii="宋体" w:hAnsi="宋体" w:eastAsia="宋体" w:cs="宋体"/>
          <w:color w:val="000000"/>
          <w:kern w:val="2"/>
          <w:sz w:val="24"/>
          <w:szCs w:val="24"/>
          <w:shd w:val="clear" w:color="auto" w:fill="FFFFFF"/>
        </w:rPr>
      </w:pPr>
      <w:r>
        <w:rPr>
          <w:rFonts w:eastAsia="宋体"/>
          <w:b/>
          <w:color w:val="000000"/>
          <w:sz w:val="24"/>
          <w:szCs w:val="24"/>
          <w:shd w:val="clear" w:color="auto" w:fill="FFFFFF"/>
        </w:rPr>
        <w:t>1</w:t>
      </w:r>
      <w:r>
        <w:rPr>
          <w:rFonts w:hint="eastAsia" w:ascii="Times New Roman" w:hAnsi="Times New Roman" w:eastAsia="宋体" w:cs="宋体"/>
          <w:b/>
          <w:color w:val="000000"/>
          <w:sz w:val="24"/>
          <w:szCs w:val="24"/>
          <w:shd w:val="clear" w:color="auto" w:fill="FFFFFF"/>
        </w:rPr>
        <w:t>、启动资金来源</w:t>
      </w:r>
      <w:r>
        <w:rPr>
          <w:rFonts w:eastAsia="宋体"/>
          <w:b/>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单位：万元</w:t>
      </w:r>
      <w:bookmarkEnd w:id="2"/>
    </w:p>
    <w:tbl>
      <w:tblPr>
        <w:tblStyle w:val="3"/>
        <w:tblW w:w="0" w:type="auto"/>
        <w:tblInd w:w="0" w:type="dxa"/>
        <w:tblLayout w:type="fixed"/>
        <w:tblCellMar>
          <w:top w:w="0" w:type="dxa"/>
          <w:left w:w="108" w:type="dxa"/>
          <w:bottom w:w="0" w:type="dxa"/>
          <w:right w:w="108" w:type="dxa"/>
        </w:tblCellMar>
      </w:tblPr>
      <w:tblGrid>
        <w:gridCol w:w="1517"/>
        <w:gridCol w:w="2341"/>
        <w:gridCol w:w="2451"/>
        <w:gridCol w:w="2384"/>
      </w:tblGrid>
      <w:tr>
        <w:tblPrEx>
          <w:tblCellMar>
            <w:top w:w="0" w:type="dxa"/>
            <w:left w:w="108" w:type="dxa"/>
            <w:bottom w:w="0" w:type="dxa"/>
            <w:right w:w="108" w:type="dxa"/>
          </w:tblCellMar>
        </w:tblPrEx>
        <w:trPr>
          <w:trHeight w:val="397" w:hRule="exact"/>
        </w:trPr>
        <w:tc>
          <w:tcPr>
            <w:tcW w:w="151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筹资渠道</w:t>
            </w:r>
          </w:p>
        </w:tc>
        <w:tc>
          <w:tcPr>
            <w:tcW w:w="2341" w:type="dxa"/>
            <w:tcBorders>
              <w:top w:val="single" w:color="000000" w:sz="8" w:space="0"/>
              <w:left w:val="nil"/>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资金提供方</w:t>
            </w:r>
          </w:p>
        </w:tc>
        <w:tc>
          <w:tcPr>
            <w:tcW w:w="2451" w:type="dxa"/>
            <w:tcBorders>
              <w:top w:val="single" w:color="000000" w:sz="8" w:space="0"/>
              <w:left w:val="nil"/>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金额</w:t>
            </w:r>
          </w:p>
        </w:tc>
        <w:tc>
          <w:tcPr>
            <w:tcW w:w="2384" w:type="dxa"/>
            <w:tcBorders>
              <w:top w:val="single" w:color="000000" w:sz="8" w:space="0"/>
              <w:left w:val="nil"/>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占投资总额比例</w:t>
            </w:r>
          </w:p>
        </w:tc>
      </w:tr>
      <w:tr>
        <w:tblPrEx>
          <w:tblCellMar>
            <w:top w:w="0" w:type="dxa"/>
            <w:left w:w="108" w:type="dxa"/>
            <w:bottom w:w="0" w:type="dxa"/>
            <w:right w:w="108" w:type="dxa"/>
          </w:tblCellMar>
        </w:tblPrEx>
        <w:trPr>
          <w:trHeight w:val="397" w:hRule="exact"/>
        </w:trPr>
        <w:tc>
          <w:tcPr>
            <w:tcW w:w="151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自有资金</w:t>
            </w:r>
          </w:p>
        </w:tc>
        <w:tc>
          <w:tcPr>
            <w:tcW w:w="2341" w:type="dxa"/>
            <w:tcBorders>
              <w:top w:val="single" w:color="000000" w:sz="8" w:space="0"/>
              <w:left w:val="nil"/>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股东</w:t>
            </w:r>
          </w:p>
        </w:tc>
        <w:tc>
          <w:tcPr>
            <w:tcW w:w="2451"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p>
        </w:tc>
        <w:tc>
          <w:tcPr>
            <w:tcW w:w="2384"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r>
              <w:rPr>
                <w:rFonts w:hint="eastAsia" w:ascii="宋体" w:hAnsi="宋体" w:eastAsia="宋体" w:cs="宋体"/>
                <w:color w:val="000000"/>
                <w:sz w:val="21"/>
                <w:szCs w:val="21"/>
              </w:rPr>
              <w:t>%</w:t>
            </w:r>
          </w:p>
        </w:tc>
      </w:tr>
      <w:tr>
        <w:tblPrEx>
          <w:tblCellMar>
            <w:top w:w="0" w:type="dxa"/>
            <w:left w:w="108" w:type="dxa"/>
            <w:bottom w:w="0" w:type="dxa"/>
            <w:right w:w="108" w:type="dxa"/>
          </w:tblCellMar>
        </w:tblPrEx>
        <w:trPr>
          <w:trHeight w:val="397" w:hRule="exact"/>
        </w:trPr>
        <w:tc>
          <w:tcPr>
            <w:tcW w:w="151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私人拆借</w:t>
            </w:r>
          </w:p>
        </w:tc>
        <w:tc>
          <w:tcPr>
            <w:tcW w:w="2341" w:type="dxa"/>
            <w:tcBorders>
              <w:top w:val="single" w:color="000000" w:sz="8" w:space="0"/>
              <w:left w:val="nil"/>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亲属、朋友</w:t>
            </w:r>
          </w:p>
        </w:tc>
        <w:tc>
          <w:tcPr>
            <w:tcW w:w="2451"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p>
        </w:tc>
        <w:tc>
          <w:tcPr>
            <w:tcW w:w="2384"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r>
              <w:rPr>
                <w:rFonts w:hint="eastAsia" w:ascii="宋体" w:hAnsi="宋体" w:eastAsia="宋体" w:cs="宋体"/>
                <w:color w:val="000000"/>
                <w:sz w:val="21"/>
                <w:szCs w:val="21"/>
              </w:rPr>
              <w:t>%</w:t>
            </w:r>
          </w:p>
        </w:tc>
      </w:tr>
      <w:tr>
        <w:tblPrEx>
          <w:tblCellMar>
            <w:top w:w="0" w:type="dxa"/>
            <w:left w:w="108" w:type="dxa"/>
            <w:bottom w:w="0" w:type="dxa"/>
            <w:right w:w="108" w:type="dxa"/>
          </w:tblCellMar>
        </w:tblPrEx>
        <w:trPr>
          <w:trHeight w:val="397" w:hRule="exact"/>
        </w:trPr>
        <w:tc>
          <w:tcPr>
            <w:tcW w:w="151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银行贷款</w:t>
            </w:r>
          </w:p>
        </w:tc>
        <w:tc>
          <w:tcPr>
            <w:tcW w:w="2341" w:type="dxa"/>
            <w:tcBorders>
              <w:top w:val="single" w:color="000000" w:sz="8" w:space="0"/>
              <w:left w:val="nil"/>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银行</w:t>
            </w:r>
          </w:p>
        </w:tc>
        <w:tc>
          <w:tcPr>
            <w:tcW w:w="2451"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p>
        </w:tc>
        <w:tc>
          <w:tcPr>
            <w:tcW w:w="2384"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r>
              <w:rPr>
                <w:rFonts w:hint="eastAsia" w:ascii="宋体" w:hAnsi="宋体" w:eastAsia="宋体" w:cs="宋体"/>
                <w:color w:val="000000"/>
                <w:sz w:val="21"/>
                <w:szCs w:val="21"/>
              </w:rPr>
              <w:t>%</w:t>
            </w:r>
          </w:p>
        </w:tc>
      </w:tr>
      <w:tr>
        <w:tblPrEx>
          <w:tblCellMar>
            <w:top w:w="0" w:type="dxa"/>
            <w:left w:w="108" w:type="dxa"/>
            <w:bottom w:w="0" w:type="dxa"/>
            <w:right w:w="108" w:type="dxa"/>
          </w:tblCellMar>
        </w:tblPrEx>
        <w:trPr>
          <w:trHeight w:val="397" w:hRule="exact"/>
        </w:trPr>
        <w:tc>
          <w:tcPr>
            <w:tcW w:w="151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政府小额贷款</w:t>
            </w:r>
          </w:p>
        </w:tc>
        <w:tc>
          <w:tcPr>
            <w:tcW w:w="2341" w:type="dxa"/>
            <w:tcBorders>
              <w:top w:val="single" w:color="000000" w:sz="8" w:space="0"/>
              <w:left w:val="nil"/>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政府相关部门</w:t>
            </w:r>
          </w:p>
        </w:tc>
        <w:tc>
          <w:tcPr>
            <w:tcW w:w="2451"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p>
        </w:tc>
        <w:tc>
          <w:tcPr>
            <w:tcW w:w="2384"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r>
              <w:rPr>
                <w:rFonts w:hint="eastAsia" w:ascii="宋体" w:hAnsi="宋体" w:eastAsia="宋体" w:cs="宋体"/>
                <w:color w:val="000000"/>
                <w:sz w:val="21"/>
                <w:szCs w:val="21"/>
              </w:rPr>
              <w:t>%</w:t>
            </w:r>
          </w:p>
        </w:tc>
      </w:tr>
      <w:tr>
        <w:tblPrEx>
          <w:tblCellMar>
            <w:top w:w="0" w:type="dxa"/>
            <w:left w:w="108" w:type="dxa"/>
            <w:bottom w:w="0" w:type="dxa"/>
            <w:right w:w="108" w:type="dxa"/>
          </w:tblCellMar>
        </w:tblPrEx>
        <w:trPr>
          <w:trHeight w:val="397" w:hRule="exact"/>
        </w:trPr>
        <w:tc>
          <w:tcPr>
            <w:tcW w:w="151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总计</w:t>
            </w:r>
          </w:p>
        </w:tc>
        <w:tc>
          <w:tcPr>
            <w:tcW w:w="2341" w:type="dxa"/>
            <w:tcBorders>
              <w:top w:val="single" w:color="000000" w:sz="8" w:space="0"/>
              <w:left w:val="nil"/>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w:t>
            </w:r>
          </w:p>
        </w:tc>
        <w:tc>
          <w:tcPr>
            <w:tcW w:w="2451"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p>
        </w:tc>
        <w:tc>
          <w:tcPr>
            <w:tcW w:w="2384" w:type="dxa"/>
            <w:tcBorders>
              <w:top w:val="single" w:color="000000" w:sz="8" w:space="0"/>
              <w:left w:val="nil"/>
              <w:bottom w:val="single" w:color="000000" w:sz="8" w:space="0"/>
              <w:right w:val="single" w:color="000000" w:sz="8" w:space="0"/>
            </w:tcBorders>
            <w:vAlign w:val="center"/>
          </w:tcPr>
          <w:p>
            <w:pPr>
              <w:spacing w:line="300" w:lineRule="exact"/>
              <w:jc w:val="center"/>
              <w:rPr>
                <w:rFonts w:ascii="宋体" w:hAnsi="宋体" w:eastAsia="宋体" w:cs="宋体"/>
                <w:color w:val="000000"/>
                <w:kern w:val="2"/>
                <w:sz w:val="21"/>
                <w:szCs w:val="21"/>
              </w:rPr>
            </w:pPr>
            <w:r>
              <w:rPr>
                <w:rFonts w:hint="eastAsia" w:ascii="宋体" w:hAnsi="宋体" w:eastAsia="宋体" w:cs="宋体"/>
                <w:color w:val="000000"/>
                <w:sz w:val="21"/>
                <w:szCs w:val="21"/>
              </w:rPr>
              <w:t>%</w:t>
            </w:r>
          </w:p>
        </w:tc>
      </w:tr>
    </w:tbl>
    <w:p>
      <w:pPr>
        <w:spacing w:line="560" w:lineRule="exact"/>
        <w:rPr>
          <w:rFonts w:ascii="宋体" w:hAnsi="宋体" w:eastAsia="宋体" w:cs="宋体"/>
          <w:color w:val="000000"/>
          <w:kern w:val="2"/>
          <w:sz w:val="24"/>
          <w:szCs w:val="24"/>
          <w:shd w:val="clear" w:color="auto" w:fill="FFFFFF"/>
        </w:rPr>
      </w:pPr>
      <w:r>
        <w:rPr>
          <w:rFonts w:eastAsia="宋体"/>
          <w:b/>
          <w:color w:val="000000"/>
          <w:sz w:val="24"/>
          <w:szCs w:val="24"/>
          <w:shd w:val="clear" w:color="auto" w:fill="FFFFFF"/>
        </w:rPr>
        <w:t>2</w:t>
      </w:r>
      <w:r>
        <w:rPr>
          <w:rFonts w:hint="eastAsia" w:ascii="Times New Roman" w:hAnsi="Times New Roman" w:eastAsia="宋体" w:cs="宋体"/>
          <w:b/>
          <w:color w:val="000000"/>
          <w:sz w:val="24"/>
          <w:szCs w:val="24"/>
          <w:shd w:val="clear" w:color="auto" w:fill="FFFFFF"/>
        </w:rPr>
        <w:t>、最近年度利润（创新团队可不填）</w:t>
      </w:r>
      <w:r>
        <w:rPr>
          <w:rFonts w:eastAsia="宋体"/>
          <w:b/>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 xml:space="preserve">             单位：万元</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24"/>
        <w:gridCol w:w="3056"/>
        <w:gridCol w:w="1080"/>
        <w:gridCol w:w="1080"/>
        <w:gridCol w:w="1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项  目</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1</w:t>
            </w:r>
            <w:r>
              <w:rPr>
                <w:rFonts w:ascii="宋体" w:hAnsi="宋体" w:eastAsia="宋体" w:cs="宋体"/>
                <w:b/>
                <w:color w:val="000000"/>
                <w:sz w:val="21"/>
                <w:szCs w:val="21"/>
              </w:rPr>
              <w:t>7</w:t>
            </w:r>
            <w:r>
              <w:rPr>
                <w:rFonts w:hint="eastAsia" w:ascii="宋体" w:hAnsi="宋体" w:eastAsia="宋体" w:cs="宋体"/>
                <w:b/>
                <w:color w:val="000000"/>
                <w:sz w:val="21"/>
                <w:szCs w:val="21"/>
              </w:rPr>
              <w:t>年期末余额</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1</w:t>
            </w:r>
            <w:r>
              <w:rPr>
                <w:rFonts w:ascii="宋体" w:hAnsi="宋体" w:eastAsia="宋体" w:cs="宋体"/>
                <w:b/>
                <w:color w:val="000000"/>
                <w:sz w:val="21"/>
                <w:szCs w:val="21"/>
              </w:rPr>
              <w:t>8</w:t>
            </w:r>
            <w:r>
              <w:rPr>
                <w:rFonts w:hint="eastAsia" w:ascii="宋体" w:hAnsi="宋体" w:eastAsia="宋体" w:cs="宋体"/>
                <w:b/>
                <w:color w:val="000000"/>
                <w:sz w:val="21"/>
                <w:szCs w:val="21"/>
              </w:rPr>
              <w:t>年期末余额</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1</w:t>
            </w:r>
            <w:r>
              <w:rPr>
                <w:rFonts w:ascii="宋体" w:hAnsi="宋体" w:eastAsia="宋体" w:cs="宋体"/>
                <w:b/>
                <w:color w:val="000000"/>
                <w:sz w:val="21"/>
                <w:szCs w:val="21"/>
              </w:rPr>
              <w:t>9</w:t>
            </w:r>
            <w:r>
              <w:rPr>
                <w:rFonts w:hint="eastAsia" w:ascii="宋体" w:hAnsi="宋体" w:eastAsia="宋体" w:cs="宋体"/>
                <w:b/>
                <w:color w:val="000000"/>
                <w:sz w:val="21"/>
                <w:szCs w:val="21"/>
              </w:rPr>
              <w:t>年期末余额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一、主营业务收入</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加：其他收入</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2524"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减：主营业务成本</w:t>
            </w: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生产/采购成本</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营业税金及附加(按5.5%计算)</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2524"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变动销售费用</w:t>
            </w: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销售提成</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边际贡献率(%)=（主营业务收入-主营业务成本-营业税金-销售提成）/主营业务收入</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2524"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固定销售费用</w:t>
            </w: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宣传推广费</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2524" w:type="dxa"/>
            <w:vMerge w:val="restart"/>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管理费用</w:t>
            </w: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场地租金</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882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color w:val="000000"/>
                <w:kern w:val="2"/>
                <w:sz w:val="21"/>
                <w:szCs w:val="21"/>
              </w:rPr>
            </w:pP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员工薪酬</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882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color w:val="000000"/>
                <w:kern w:val="2"/>
                <w:sz w:val="21"/>
                <w:szCs w:val="21"/>
              </w:rPr>
            </w:pP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办公用品及耗材</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882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color w:val="000000"/>
                <w:kern w:val="2"/>
                <w:sz w:val="21"/>
                <w:szCs w:val="21"/>
              </w:rPr>
            </w:pP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水、电、交通差旅费</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882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color w:val="000000"/>
                <w:kern w:val="2"/>
                <w:sz w:val="21"/>
                <w:szCs w:val="21"/>
              </w:rPr>
            </w:pP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固定资产折旧</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882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color w:val="000000"/>
                <w:kern w:val="2"/>
                <w:sz w:val="21"/>
                <w:szCs w:val="21"/>
              </w:rPr>
            </w:pP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其他管理费用</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2524"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财务费用</w:t>
            </w:r>
          </w:p>
        </w:tc>
        <w:tc>
          <w:tcPr>
            <w:tcW w:w="3056"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利息支出</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二、营业利润</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减：所得税费用（按25％计算）</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rPr>
        <w:tc>
          <w:tcPr>
            <w:tcW w:w="558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三、净利润</w:t>
            </w: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08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820" w:type="dxa"/>
            <w:gridSpan w:val="5"/>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备注：员工薪酬包括企业主薪酬和职工薪酬，本计划书所提到的员工薪酬都符合该条件。</w:t>
            </w:r>
          </w:p>
        </w:tc>
      </w:tr>
    </w:tbl>
    <w:p>
      <w:pPr>
        <w:spacing w:line="560" w:lineRule="exact"/>
        <w:rPr>
          <w:rFonts w:ascii="宋体" w:hAnsi="宋体" w:eastAsia="宋体" w:cs="宋体"/>
          <w:color w:val="000000"/>
          <w:kern w:val="2"/>
          <w:sz w:val="24"/>
          <w:szCs w:val="24"/>
          <w:shd w:val="clear" w:color="auto" w:fill="FFFFFF"/>
        </w:rPr>
      </w:pPr>
      <w:r>
        <w:rPr>
          <w:rFonts w:eastAsia="宋体"/>
          <w:b/>
          <w:color w:val="000000"/>
          <w:sz w:val="24"/>
          <w:szCs w:val="24"/>
          <w:shd w:val="clear" w:color="auto" w:fill="FFFFFF"/>
        </w:rPr>
        <w:t>3</w:t>
      </w:r>
      <w:r>
        <w:rPr>
          <w:rFonts w:hint="eastAsia" w:ascii="Times New Roman" w:hAnsi="Times New Roman" w:eastAsia="宋体" w:cs="宋体"/>
          <w:b/>
          <w:color w:val="000000"/>
          <w:sz w:val="24"/>
          <w:szCs w:val="24"/>
          <w:shd w:val="clear" w:color="auto" w:fill="FFFFFF"/>
        </w:rPr>
        <w:t>、利润预测</w:t>
      </w:r>
      <w:r>
        <w:rPr>
          <w:rFonts w:eastAsia="宋体"/>
          <w:b/>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单位：万元</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632"/>
        <w:gridCol w:w="2367"/>
        <w:gridCol w:w="1481"/>
        <w:gridCol w:w="108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项  目</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20</w:t>
            </w:r>
            <w:r>
              <w:rPr>
                <w:rFonts w:ascii="宋体" w:hAnsi="宋体" w:eastAsia="宋体" w:cs="宋体"/>
                <w:b/>
                <w:color w:val="000000"/>
                <w:sz w:val="21"/>
                <w:szCs w:val="21"/>
              </w:rPr>
              <w:t>20</w:t>
            </w:r>
            <w:r>
              <w:rPr>
                <w:rFonts w:hint="eastAsia" w:ascii="宋体" w:hAnsi="宋体" w:eastAsia="宋体" w:cs="宋体"/>
                <w:b/>
                <w:color w:val="000000"/>
                <w:sz w:val="21"/>
                <w:szCs w:val="21"/>
              </w:rPr>
              <w:t>年</w:t>
            </w: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202</w:t>
            </w:r>
            <w:r>
              <w:rPr>
                <w:rFonts w:ascii="宋体" w:hAnsi="宋体" w:eastAsia="宋体" w:cs="宋体"/>
                <w:b/>
                <w:color w:val="000000"/>
                <w:sz w:val="21"/>
                <w:szCs w:val="21"/>
              </w:rPr>
              <w:t>2</w:t>
            </w:r>
            <w:r>
              <w:rPr>
                <w:rFonts w:hint="eastAsia" w:ascii="宋体" w:hAnsi="宋体" w:eastAsia="宋体" w:cs="宋体"/>
                <w:b/>
                <w:color w:val="000000"/>
                <w:sz w:val="21"/>
                <w:szCs w:val="21"/>
              </w:rPr>
              <w:t>年</w:t>
            </w: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宋体" w:hAnsi="宋体" w:eastAsia="宋体" w:cs="宋体"/>
                <w:b/>
                <w:color w:val="000000"/>
                <w:kern w:val="2"/>
                <w:sz w:val="21"/>
                <w:szCs w:val="21"/>
              </w:rPr>
            </w:pPr>
            <w:r>
              <w:rPr>
                <w:rFonts w:hint="eastAsia" w:ascii="宋体" w:hAnsi="宋体" w:eastAsia="宋体" w:cs="宋体"/>
                <w:b/>
                <w:color w:val="000000"/>
                <w:sz w:val="21"/>
                <w:szCs w:val="21"/>
              </w:rPr>
              <w:t>202</w:t>
            </w:r>
            <w:r>
              <w:rPr>
                <w:rFonts w:ascii="宋体" w:hAnsi="宋体" w:eastAsia="宋体" w:cs="宋体"/>
                <w:b/>
                <w:color w:val="000000"/>
                <w:sz w:val="21"/>
                <w:szCs w:val="21"/>
              </w:rPr>
              <w:t>4</w:t>
            </w:r>
            <w:r>
              <w:rPr>
                <w:rFonts w:hint="eastAsia" w:ascii="宋体" w:hAnsi="宋体" w:eastAsia="宋体" w:cs="宋体"/>
                <w:b/>
                <w:color w:val="000000"/>
                <w:sz w:val="21"/>
                <w:szCs w:val="21"/>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一、主营业务收入</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加：其他收入</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263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减：主营业务成本</w:t>
            </w: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生产/采购成本</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营业税金及附加(按5.5%计算)</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263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变动销售费用</w:t>
            </w: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销售提成</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9" w:hRule="atLeas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边际贡献率(%)=（主营业务收入-主营业务成本-营业税金-销售提成）/主营业务收入</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263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固定销售费用</w:t>
            </w: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宣传推广费</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2632" w:type="dxa"/>
            <w:vMerge w:val="restart"/>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管理费用</w:t>
            </w: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场地租金</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926"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仿宋"/>
                <w:color w:val="000000"/>
                <w:kern w:val="2"/>
                <w:sz w:val="21"/>
                <w:szCs w:val="21"/>
              </w:rPr>
            </w:pP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员工薪酬</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926"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仿宋"/>
                <w:color w:val="000000"/>
                <w:kern w:val="2"/>
                <w:sz w:val="21"/>
                <w:szCs w:val="21"/>
              </w:rPr>
            </w:pP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办公用品及耗材</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926"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仿宋"/>
                <w:color w:val="000000"/>
                <w:kern w:val="2"/>
                <w:sz w:val="21"/>
                <w:szCs w:val="21"/>
              </w:rPr>
            </w:pP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水、电、交通差旅费</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926"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仿宋"/>
                <w:color w:val="000000"/>
                <w:kern w:val="2"/>
                <w:sz w:val="21"/>
                <w:szCs w:val="21"/>
              </w:rPr>
            </w:pP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固定资产折旧</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926"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仿宋"/>
                <w:color w:val="000000"/>
                <w:kern w:val="2"/>
                <w:sz w:val="21"/>
                <w:szCs w:val="21"/>
              </w:rPr>
            </w:pP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其他管理费用</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2632"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财务费用</w:t>
            </w:r>
          </w:p>
        </w:tc>
        <w:tc>
          <w:tcPr>
            <w:tcW w:w="2367"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利息支出</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二、营业利润</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sz w:val="21"/>
                <w:szCs w:val="21"/>
              </w:rPr>
              <w:t>减：所得税费用（按25％计算）</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4999"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三、净利润</w:t>
            </w:r>
          </w:p>
        </w:tc>
        <w:tc>
          <w:tcPr>
            <w:tcW w:w="1481"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c>
          <w:tcPr>
            <w:tcW w:w="1366"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 w:hAnsi="仿宋" w:eastAsia="仿宋" w:cs="仿宋"/>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926" w:type="dxa"/>
            <w:gridSpan w:val="5"/>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备注：员工薪酬包括企业主薪酬和职工薪酬，本计划书所提到的员工薪酬都符合该条件。</w:t>
            </w:r>
          </w:p>
        </w:tc>
      </w:tr>
    </w:tbl>
    <w:p>
      <w:pPr>
        <w:spacing w:line="560" w:lineRule="exact"/>
        <w:rPr>
          <w:rFonts w:ascii="Times New Roman" w:hAnsi="Times New Roman" w:eastAsia="宋体"/>
          <w:b/>
          <w:color w:val="000000"/>
          <w:kern w:val="2"/>
          <w:sz w:val="28"/>
          <w:szCs w:val="28"/>
          <w:shd w:val="clear" w:color="auto" w:fill="FFFFFF"/>
        </w:rPr>
      </w:pPr>
    </w:p>
    <w:p>
      <w:pPr>
        <w:spacing w:line="560" w:lineRule="exact"/>
        <w:rPr>
          <w:rFonts w:ascii="黑体" w:eastAsia="黑体" w:cs="黑体"/>
          <w:color w:val="000000"/>
          <w:kern w:val="2"/>
          <w:sz w:val="28"/>
          <w:szCs w:val="28"/>
          <w:shd w:val="clear" w:color="auto" w:fill="FFFFFF"/>
        </w:rPr>
      </w:pPr>
      <w:r>
        <w:rPr>
          <w:rFonts w:ascii="Times New Roman" w:hAnsi="Times New Roman" w:eastAsia="宋体"/>
          <w:b/>
          <w:color w:val="000000"/>
          <w:kern w:val="2"/>
          <w:sz w:val="28"/>
          <w:szCs w:val="28"/>
          <w:shd w:val="clear" w:color="auto" w:fill="FFFFFF"/>
        </w:rPr>
        <w:br w:type="page"/>
      </w:r>
      <w:bookmarkStart w:id="3" w:name="_Toc256779600"/>
      <w:r>
        <w:rPr>
          <w:rFonts w:hint="eastAsia" w:ascii="黑体" w:eastAsia="黑体" w:cs="黑体"/>
          <w:color w:val="000000"/>
          <w:sz w:val="28"/>
          <w:szCs w:val="28"/>
          <w:shd w:val="clear" w:color="auto" w:fill="FFFFFF"/>
        </w:rPr>
        <w:t>六、融资需求</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8"/>
        <w:gridCol w:w="3600"/>
        <w:gridCol w:w="290"/>
        <w:gridCol w:w="1860"/>
        <w:gridCol w:w="16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restart"/>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kern w:val="2"/>
                <w:sz w:val="21"/>
                <w:szCs w:val="21"/>
              </w:rPr>
              <w:t>融资需求</w:t>
            </w:r>
          </w:p>
        </w:tc>
        <w:tc>
          <w:tcPr>
            <w:tcW w:w="7421" w:type="dxa"/>
            <w:gridSpan w:val="4"/>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kern w:val="2"/>
                <w:sz w:val="21"/>
                <w:szCs w:val="21"/>
              </w:rPr>
              <w:t>当前是否有融资需求     □是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7421" w:type="dxa"/>
            <w:gridSpan w:val="4"/>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kern w:val="2"/>
                <w:sz w:val="21"/>
                <w:szCs w:val="21"/>
              </w:rPr>
              <w:t>计划融资方式：  □股权融资     □债券融资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kern w:val="2"/>
                <w:sz w:val="21"/>
                <w:szCs w:val="21"/>
              </w:rPr>
              <w:t>计划融资时间</w:t>
            </w: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kern w:val="2"/>
                <w:sz w:val="21"/>
                <w:szCs w:val="21"/>
              </w:rPr>
              <w:t>计划融资金额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89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3531"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7421" w:type="dxa"/>
            <w:gridSpan w:val="4"/>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kern w:val="2"/>
                <w:sz w:val="21"/>
                <w:szCs w:val="21"/>
              </w:rPr>
              <w:t>是否有融资经历           □是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60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kern w:val="2"/>
                <w:sz w:val="21"/>
                <w:szCs w:val="21"/>
              </w:rPr>
              <w:t>投资人/机构</w:t>
            </w:r>
          </w:p>
        </w:tc>
        <w:tc>
          <w:tcPr>
            <w:tcW w:w="215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kern w:val="2"/>
                <w:sz w:val="21"/>
                <w:szCs w:val="21"/>
              </w:rPr>
              <w:t>融资金额(万元)</w:t>
            </w:r>
          </w:p>
        </w:tc>
        <w:tc>
          <w:tcPr>
            <w:tcW w:w="1671"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kern w:val="2"/>
                <w:sz w:val="21"/>
                <w:szCs w:val="21"/>
              </w:rPr>
              <w:t>融资时间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60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215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671"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60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215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671"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60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215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671"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3600"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2150" w:type="dxa"/>
            <w:gridSpan w:val="2"/>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c>
          <w:tcPr>
            <w:tcW w:w="1671" w:type="dxa"/>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7421" w:type="dxa"/>
            <w:gridSpan w:val="4"/>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仿宋" w:hAnsi="仿宋" w:eastAsia="仿宋" w:cs="仿宋"/>
                <w:color w:val="000000"/>
                <w:kern w:val="2"/>
                <w:sz w:val="21"/>
                <w:szCs w:val="21"/>
              </w:rPr>
            </w:pPr>
            <w:r>
              <w:rPr>
                <w:rFonts w:hint="eastAsia" w:ascii="仿宋" w:hAnsi="仿宋" w:eastAsia="仿宋" w:cs="仿宋"/>
                <w:color w:val="000000"/>
                <w:kern w:val="2"/>
                <w:sz w:val="21"/>
                <w:szCs w:val="21"/>
              </w:rPr>
              <w:t>其它融资需求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5" w:hRule="atLeast"/>
          <w:jc w:val="center"/>
        </w:trPr>
        <w:tc>
          <w:tcPr>
            <w:tcW w:w="1708" w:type="dxa"/>
            <w:vMerge w:val="continue"/>
            <w:tcBorders>
              <w:top w:val="single" w:color="auto" w:sz="8" w:space="0"/>
              <w:left w:val="single" w:color="auto" w:sz="8" w:space="0"/>
              <w:bottom w:val="single" w:color="auto" w:sz="8" w:space="0"/>
              <w:right w:val="single" w:color="auto" w:sz="8" w:space="0"/>
            </w:tcBorders>
            <w:vAlign w:val="center"/>
          </w:tcPr>
          <w:p>
            <w:pPr>
              <w:rPr>
                <w:rFonts w:eastAsia="宋体"/>
                <w:b/>
                <w:color w:val="000000"/>
                <w:kern w:val="2"/>
                <w:sz w:val="21"/>
                <w:szCs w:val="21"/>
              </w:rPr>
            </w:pPr>
          </w:p>
        </w:tc>
        <w:tc>
          <w:tcPr>
            <w:tcW w:w="7421" w:type="dxa"/>
            <w:gridSpan w:val="4"/>
            <w:tcBorders>
              <w:top w:val="single" w:color="auto" w:sz="8" w:space="0"/>
              <w:left w:val="single" w:color="auto" w:sz="8" w:space="0"/>
              <w:bottom w:val="single" w:color="auto" w:sz="8" w:space="0"/>
              <w:right w:val="single" w:color="auto"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□科技咨询□融资担保□应收账款融资□技术/产权转让□金融租赁</w:t>
            </w:r>
          </w:p>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□股改和上市咨询□科技保险□小额贷款□信用贷款□股权质押贷款</w:t>
            </w:r>
          </w:p>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□知识产权质押贷款□中小企业集合债券发行□并购重组□资产管理</w:t>
            </w:r>
          </w:p>
          <w:p>
            <w:pPr>
              <w:spacing w:line="300" w:lineRule="exact"/>
              <w:rPr>
                <w:rFonts w:ascii="仿宋" w:hAnsi="仿宋" w:eastAsia="仿宋" w:cs="仿宋"/>
                <w:color w:val="000000"/>
                <w:kern w:val="2"/>
                <w:sz w:val="21"/>
                <w:szCs w:val="21"/>
              </w:rPr>
            </w:pPr>
            <w:r>
              <w:rPr>
                <w:rFonts w:hint="eastAsia" w:ascii="仿宋" w:hAnsi="仿宋" w:eastAsia="仿宋" w:cs="仿宋"/>
                <w:color w:val="000000"/>
                <w:kern w:val="2"/>
                <w:sz w:val="21"/>
                <w:szCs w:val="21"/>
              </w:rPr>
              <w:t>□其他服务需求_____________（可复选项）  □无融资需求</w:t>
            </w:r>
          </w:p>
        </w:tc>
      </w:tr>
    </w:tbl>
    <w:p>
      <w:pPr>
        <w:spacing w:line="560" w:lineRule="exact"/>
        <w:rPr>
          <w:rFonts w:ascii="黑体" w:eastAsia="黑体" w:cs="黑体"/>
          <w:color w:val="000000"/>
          <w:sz w:val="28"/>
          <w:szCs w:val="28"/>
          <w:shd w:val="clear" w:color="auto" w:fill="FFFFFF"/>
        </w:rPr>
      </w:pPr>
    </w:p>
    <w:p>
      <w:pPr>
        <w:spacing w:line="560" w:lineRule="exact"/>
        <w:rPr>
          <w:rFonts w:ascii="黑体" w:eastAsia="黑体" w:cs="黑体"/>
          <w:color w:val="000000"/>
          <w:kern w:val="2"/>
          <w:sz w:val="28"/>
          <w:szCs w:val="28"/>
          <w:shd w:val="clear" w:color="auto" w:fill="FFFFFF"/>
        </w:rPr>
      </w:pPr>
      <w:r>
        <w:rPr>
          <w:rFonts w:hint="eastAsia" w:ascii="黑体" w:eastAsia="黑体" w:cs="黑体"/>
          <w:color w:val="000000"/>
          <w:sz w:val="28"/>
          <w:szCs w:val="28"/>
          <w:shd w:val="clear" w:color="auto" w:fill="FFFFFF"/>
        </w:rPr>
        <w:br w:type="page"/>
      </w:r>
      <w:r>
        <w:rPr>
          <w:rFonts w:hint="eastAsia" w:ascii="黑体" w:eastAsia="黑体" w:cs="黑体"/>
          <w:color w:val="000000"/>
          <w:sz w:val="28"/>
          <w:szCs w:val="28"/>
          <w:shd w:val="clear" w:color="auto" w:fill="FFFFFF"/>
        </w:rPr>
        <w:t>七、风险分析与对策</w:t>
      </w:r>
      <w:bookmarkEnd w:id="3"/>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5474"/>
        <w:gridCol w:w="22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创业风险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分析</w:t>
            </w:r>
          </w:p>
        </w:tc>
        <w:tc>
          <w:tcPr>
            <w:tcW w:w="2237"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对策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行业风险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指行业的生命周期、行业的波动性、行业的集中程度。</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政策风险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指因国家宏观政策（如货币政策、财政政策、行业政策等）发生变化，导致市场价格波动而产生风险。</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市场风险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市场风险涉及的因素有：市场需求量、市场接受时间、市场价格、市场战略等。</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技术风险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指企业产品创新过程中技术不确定性、前景的不确定性、技术效果的不确定性、技术寿命的不确定性。</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资金风险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资金风险主要有两类：一是缺少创业资金风险，二是融资成本风险。</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管理风险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企业经营过程中的风险，如管理者素质风险、决策风险、组织风险、人才风险等。</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环境风险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ascii="仿宋" w:hAnsi="仿宋" w:eastAsia="仿宋" w:cs="仿宋"/>
                <w:color w:val="000000"/>
                <w:kern w:val="2"/>
                <w:sz w:val="21"/>
                <w:szCs w:val="21"/>
              </w:rPr>
            </w:pPr>
            <w:r>
              <w:rPr>
                <w:rFonts w:hint="eastAsia" w:ascii="仿宋" w:hAnsi="仿宋" w:eastAsia="仿宋" w:cs="仿宋"/>
                <w:color w:val="000000"/>
                <w:sz w:val="21"/>
                <w:szCs w:val="21"/>
              </w:rPr>
              <w:t>指社会、政治、政策、法律环境变化或由于意外灾害发生而造成失败的可能性。</w:t>
            </w: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exact"/>
          <w:jc w:val="center"/>
        </w:trPr>
        <w:tc>
          <w:tcPr>
            <w:tcW w:w="1245" w:type="dxa"/>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eastAsia="宋体"/>
                <w:b/>
                <w:color w:val="000000"/>
                <w:kern w:val="2"/>
                <w:sz w:val="21"/>
                <w:szCs w:val="21"/>
              </w:rPr>
            </w:pPr>
            <w:r>
              <w:rPr>
                <w:rFonts w:hint="eastAsia" w:ascii="Times New Roman" w:hAnsi="Times New Roman" w:eastAsia="宋体" w:cs="宋体"/>
                <w:b/>
                <w:color w:val="000000"/>
                <w:sz w:val="21"/>
                <w:szCs w:val="21"/>
              </w:rPr>
              <w:t>其他风险</w:t>
            </w:r>
          </w:p>
        </w:tc>
        <w:tc>
          <w:tcPr>
            <w:tcW w:w="5474" w:type="dxa"/>
            <w:tcBorders>
              <w:top w:val="single" w:color="000000" w:sz="8" w:space="0"/>
              <w:left w:val="single" w:color="000000" w:sz="8" w:space="0"/>
              <w:bottom w:val="single" w:color="000000" w:sz="8" w:space="0"/>
              <w:right w:val="single" w:color="000000" w:sz="8" w:space="0"/>
            </w:tcBorders>
            <w:vAlign w:val="center"/>
          </w:tcPr>
          <w:p>
            <w:pPr>
              <w:spacing w:line="300" w:lineRule="exact"/>
              <w:rPr>
                <w:rFonts w:eastAsia="宋体"/>
                <w:color w:val="000000"/>
                <w:kern w:val="2"/>
                <w:sz w:val="21"/>
                <w:szCs w:val="21"/>
              </w:rPr>
            </w:pPr>
          </w:p>
        </w:tc>
        <w:tc>
          <w:tcPr>
            <w:tcW w:w="2237" w:type="dxa"/>
            <w:tcBorders>
              <w:top w:val="single" w:color="000000" w:sz="8" w:space="0"/>
              <w:left w:val="single" w:color="000000" w:sz="8" w:space="0"/>
              <w:bottom w:val="single" w:color="000000" w:sz="8" w:space="0"/>
              <w:right w:val="single" w:color="000000" w:sz="8" w:space="0"/>
            </w:tcBorders>
          </w:tcPr>
          <w:p>
            <w:pPr>
              <w:spacing w:line="300" w:lineRule="exact"/>
              <w:jc w:val="center"/>
              <w:rPr>
                <w:rFonts w:eastAsia="宋体"/>
                <w:color w:val="000000"/>
                <w:kern w:val="2"/>
                <w:sz w:val="21"/>
                <w:szCs w:val="21"/>
              </w:rPr>
            </w:pPr>
          </w:p>
        </w:tc>
      </w:tr>
    </w:tbl>
    <w:p>
      <w:pPr>
        <w:spacing w:line="560" w:lineRule="exact"/>
        <w:rPr>
          <w:rFonts w:eastAsia="宋体"/>
          <w:color w:val="000000"/>
          <w:kern w:val="2"/>
          <w:sz w:val="24"/>
          <w:szCs w:val="24"/>
          <w:shd w:val="clear" w:color="auto" w:fill="FFFFFF"/>
        </w:rPr>
      </w:pPr>
      <w:r>
        <w:rPr>
          <w:rFonts w:hint="eastAsia" w:ascii="Times New Roman" w:hAnsi="Times New Roman" w:eastAsia="宋体" w:cs="宋体"/>
          <w:color w:val="000000"/>
          <w:sz w:val="24"/>
          <w:szCs w:val="24"/>
          <w:shd w:val="clear" w:color="auto" w:fill="FFFFFF"/>
        </w:rPr>
        <w:t>注：只需要填写本企业涉及到的风险。</w:t>
      </w:r>
    </w:p>
    <w:p>
      <w:pPr>
        <w:spacing w:line="560" w:lineRule="exact"/>
        <w:rPr>
          <w:rFonts w:ascii="黑体" w:eastAsia="黑体" w:cs="黑体"/>
          <w:color w:val="000000"/>
          <w:sz w:val="28"/>
          <w:szCs w:val="28"/>
          <w:shd w:val="clear" w:color="auto" w:fill="FFFFFF"/>
        </w:rPr>
      </w:pPr>
    </w:p>
    <w:p>
      <w:pPr>
        <w:spacing w:line="560" w:lineRule="exact"/>
        <w:rPr>
          <w:rFonts w:ascii="黑体" w:eastAsia="黑体" w:cs="黑体"/>
          <w:color w:val="000000"/>
          <w:kern w:val="2"/>
          <w:sz w:val="28"/>
          <w:szCs w:val="28"/>
          <w:shd w:val="clear" w:color="auto" w:fill="FFFFFF"/>
        </w:rPr>
      </w:pPr>
      <w:r>
        <w:rPr>
          <w:rFonts w:hint="eastAsia" w:ascii="黑体" w:eastAsia="黑体" w:cs="黑体"/>
          <w:color w:val="000000"/>
          <w:sz w:val="28"/>
          <w:szCs w:val="28"/>
          <w:shd w:val="clear" w:color="auto" w:fill="FFFFFF"/>
        </w:rPr>
        <w:t>八、企业愿景</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0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7" w:hRule="atLeast"/>
          <w:jc w:val="center"/>
        </w:trPr>
        <w:tc>
          <w:tcPr>
            <w:tcW w:w="9095" w:type="dxa"/>
            <w:tcBorders>
              <w:top w:val="single" w:color="000000" w:sz="8" w:space="0"/>
              <w:left w:val="single" w:color="000000" w:sz="8" w:space="0"/>
              <w:bottom w:val="single" w:color="000000" w:sz="8" w:space="0"/>
              <w:right w:val="single" w:color="000000" w:sz="8" w:space="0"/>
            </w:tcBorders>
          </w:tcPr>
          <w:p>
            <w:pPr>
              <w:spacing w:line="500" w:lineRule="exact"/>
              <w:rPr>
                <w:rFonts w:eastAsia="宋体"/>
                <w:color w:val="000000"/>
                <w:kern w:val="2"/>
                <w:sz w:val="24"/>
                <w:szCs w:val="24"/>
              </w:rPr>
            </w:pPr>
            <w:r>
              <w:rPr>
                <w:rFonts w:hint="eastAsia" w:ascii="仿宋" w:hAnsi="仿宋" w:eastAsia="仿宋" w:cs="仿宋"/>
                <w:color w:val="000000"/>
                <w:sz w:val="24"/>
                <w:szCs w:val="24"/>
              </w:rPr>
              <w:t>企业及其内部全体员工共同追求的企业发展愿望和长远目标的情景式描述，对企业发展具有导向功能，对员工具有激励与凝聚作用。</w:t>
            </w:r>
          </w:p>
        </w:tc>
      </w:tr>
    </w:tbl>
    <w:p>
      <w:pPr>
        <w:spacing w:line="400" w:lineRule="exact"/>
        <w:rPr>
          <w:rFonts w:ascii="仿宋" w:hAnsi="仿宋" w:eastAsia="仿宋" w:cs="仿宋"/>
          <w:color w:val="000000"/>
          <w:kern w:val="2"/>
          <w:sz w:val="21"/>
          <w:szCs w:val="21"/>
          <w:shd w:val="clear" w:color="auto" w:fill="FFFFFF"/>
        </w:rPr>
      </w:pPr>
      <w:r>
        <w:rPr>
          <w:rFonts w:hint="eastAsia" w:ascii="仿宋" w:hAnsi="仿宋" w:eastAsia="仿宋" w:cs="仿宋"/>
          <w:color w:val="000000"/>
          <w:sz w:val="21"/>
          <w:szCs w:val="21"/>
          <w:shd w:val="clear" w:color="auto" w:fill="FFFFFF"/>
        </w:rPr>
        <w:t>注：创业（商业）计划书要求表述条理清晰，应避免拖沓冗长，力求简洁、清晰、重点突出、条理分明；专业语言的运用要准确和适度；相关数据科学、详实。</w:t>
      </w:r>
    </w:p>
    <w:p>
      <w:pPr>
        <w:spacing w:after="0" w:line="560" w:lineRule="exact"/>
        <w:ind w:firstLine="608" w:firstLineChars="200"/>
        <w:jc w:val="both"/>
        <w:rPr>
          <w:rFonts w:ascii="仿宋_GB2312" w:eastAsia="仿宋_GB2312"/>
          <w:spacing w:val="-8"/>
          <w:sz w:val="32"/>
          <w:szCs w:val="32"/>
        </w:rPr>
      </w:pPr>
    </w:p>
    <w:p>
      <w:pPr>
        <w:rPr>
          <w:rFonts w:hint="eastAsia"/>
          <w:lang w:eastAsia="zh-CN"/>
        </w:rPr>
      </w:pPr>
    </w:p>
    <w:sectPr>
      <w:footerReference r:id="rId3" w:type="default"/>
      <w:pgSz w:w="11906" w:h="16838"/>
      <w:pgMar w:top="1440" w:right="1800" w:bottom="1440" w:left="1800" w:header="708" w:footer="708" w:gutter="0"/>
      <w:pgNumType w:fmt="numberInDash" w:start="6"/>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仿宋">
    <w:altName w:val="hakuyoxingshu7000"/>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11072319"/>
      <w:docPartObj>
        <w:docPartGallery w:val="autotext"/>
      </w:docPartObj>
    </w:sdtPr>
    <w:sdtEndPr>
      <w:rPr>
        <w:sz w:val="28"/>
      </w:rPr>
    </w:sdtEndPr>
    <w:sdtContent>
      <w:p>
        <w:pPr>
          <w:pStyle w:val="2"/>
          <w:jc w:val="center"/>
          <w:rPr>
            <w:sz w:val="28"/>
          </w:rPr>
        </w:pP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04DDC"/>
    <w:rsid w:val="36137860"/>
    <w:rsid w:val="3B5E5206"/>
    <w:rsid w:val="74D0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蒲公英</dc:creator>
  <cp:lastModifiedBy>蒲公英</cp:lastModifiedBy>
  <dcterms:modified xsi:type="dcterms:W3CDTF">2020-05-26T01:53:31Z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